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1E" w:rsidRPr="00D1221A" w:rsidRDefault="008359A5" w:rsidP="0049081E">
      <w:pPr>
        <w:pStyle w:val="Heading1"/>
        <w:rPr>
          <w:rFonts w:cs="Tahoma"/>
          <w:b/>
          <w:sz w:val="36"/>
          <w:szCs w:val="36"/>
        </w:rPr>
      </w:pPr>
      <w:bookmarkStart w:id="0" w:name="_Toc10804123"/>
      <w:r w:rsidRPr="00D1221A">
        <w:rPr>
          <w:rFonts w:cs="Tahoma"/>
          <w:b/>
          <w:sz w:val="36"/>
          <w:szCs w:val="36"/>
        </w:rPr>
        <w:t>Section 1: Consortium Information</w:t>
      </w:r>
      <w:bookmarkEnd w:id="0"/>
    </w:p>
    <w:p w:rsidR="00E23960" w:rsidRDefault="00E23960" w:rsidP="00E23960"/>
    <w:p w:rsidR="00E23960" w:rsidRDefault="00E23960" w:rsidP="00E23960"/>
    <w:p w:rsidR="00E23960" w:rsidRDefault="00E23960" w:rsidP="00E23960">
      <w:r w:rsidRPr="00E23960">
        <w:rPr>
          <w:noProof/>
        </w:rPr>
        <w:drawing>
          <wp:anchor distT="0" distB="0" distL="114300" distR="114300" simplePos="0" relativeHeight="251658240" behindDoc="0" locked="0" layoutInCell="1" allowOverlap="1" wp14:anchorId="738D884B" wp14:editId="17B293EB">
            <wp:simplePos x="0" y="0"/>
            <wp:positionH relativeFrom="column">
              <wp:posOffset>990600</wp:posOffset>
            </wp:positionH>
            <wp:positionV relativeFrom="paragraph">
              <wp:posOffset>118110</wp:posOffset>
            </wp:positionV>
            <wp:extent cx="4013835" cy="1329583"/>
            <wp:effectExtent l="0" t="0" r="5715" b="4445"/>
            <wp:wrapNone/>
            <wp:docPr id="5" name="Picture 5" descr="C:\Users\Monrovia\Desktop\Documents\CCAEC\Art-Media for Consortium\CCA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rovia\Desktop\Documents\CCAEC\Art-Media for Consortium\CCAE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835" cy="13295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960" w:rsidRDefault="00E23960" w:rsidP="00E23960"/>
    <w:p w:rsidR="00E23960" w:rsidRDefault="00E23960" w:rsidP="00E23960"/>
    <w:p w:rsidR="00E23960" w:rsidRDefault="00E23960" w:rsidP="00E23960"/>
    <w:p w:rsidR="00E23960" w:rsidRDefault="00E23960" w:rsidP="00E23960"/>
    <w:p w:rsidR="00E23960" w:rsidRDefault="00E23960" w:rsidP="00E23960"/>
    <w:p w:rsidR="00E23960" w:rsidRDefault="00E23960" w:rsidP="00E23960"/>
    <w:p w:rsidR="00E23960" w:rsidRDefault="00E23960" w:rsidP="00E23960">
      <w:pPr>
        <w:jc w:val="center"/>
        <w:rPr>
          <w:sz w:val="32"/>
        </w:rPr>
      </w:pPr>
      <w:r w:rsidRPr="00E23960">
        <w:rPr>
          <w:sz w:val="52"/>
        </w:rPr>
        <w:t>Citrus College Adult Education Consortium</w:t>
      </w:r>
    </w:p>
    <w:p w:rsidR="00E23960" w:rsidRDefault="00E23960" w:rsidP="00E23960">
      <w:pPr>
        <w:rPr>
          <w:sz w:val="32"/>
        </w:rPr>
      </w:pPr>
    </w:p>
    <w:p w:rsidR="00E23960" w:rsidRDefault="00E23960" w:rsidP="00E23960">
      <w:pPr>
        <w:rPr>
          <w:sz w:val="32"/>
        </w:rPr>
      </w:pPr>
    </w:p>
    <w:p w:rsidR="00E23960" w:rsidRDefault="00E23960" w:rsidP="00E23960">
      <w:pPr>
        <w:rPr>
          <w:sz w:val="28"/>
        </w:rPr>
      </w:pPr>
      <w:r>
        <w:rPr>
          <w:sz w:val="28"/>
        </w:rPr>
        <w:t>John Russell</w:t>
      </w:r>
    </w:p>
    <w:p w:rsidR="00E23960" w:rsidRDefault="00E23960" w:rsidP="00E23960">
      <w:pPr>
        <w:rPr>
          <w:sz w:val="28"/>
        </w:rPr>
      </w:pPr>
      <w:r>
        <w:rPr>
          <w:sz w:val="28"/>
        </w:rPr>
        <w:t>Regional Director</w:t>
      </w:r>
    </w:p>
    <w:p w:rsidR="00E23960" w:rsidRDefault="00E23960" w:rsidP="00E23960">
      <w:pPr>
        <w:rPr>
          <w:sz w:val="28"/>
        </w:rPr>
      </w:pPr>
      <w:proofErr w:type="gramStart"/>
      <w:r>
        <w:rPr>
          <w:sz w:val="28"/>
        </w:rPr>
        <w:t>desk</w:t>
      </w:r>
      <w:proofErr w:type="gramEnd"/>
      <w:r>
        <w:rPr>
          <w:sz w:val="28"/>
        </w:rPr>
        <w:t>)</w:t>
      </w:r>
      <w:r>
        <w:rPr>
          <w:sz w:val="28"/>
        </w:rPr>
        <w:tab/>
        <w:t>626.471.3044</w:t>
      </w:r>
    </w:p>
    <w:p w:rsidR="00E23960" w:rsidRDefault="00E23960" w:rsidP="00E23960">
      <w:pPr>
        <w:rPr>
          <w:sz w:val="28"/>
        </w:rPr>
      </w:pPr>
      <w:proofErr w:type="gramStart"/>
      <w:r>
        <w:rPr>
          <w:sz w:val="28"/>
        </w:rPr>
        <w:t>cell</w:t>
      </w:r>
      <w:proofErr w:type="gramEnd"/>
      <w:r>
        <w:rPr>
          <w:sz w:val="28"/>
        </w:rPr>
        <w:t>)</w:t>
      </w:r>
      <w:r>
        <w:rPr>
          <w:sz w:val="28"/>
        </w:rPr>
        <w:tab/>
        <w:t>626.840.9865</w:t>
      </w:r>
    </w:p>
    <w:p w:rsidR="00441B23" w:rsidRDefault="00B66153" w:rsidP="00E23960">
      <w:pPr>
        <w:rPr>
          <w:sz w:val="28"/>
        </w:rPr>
      </w:pPr>
      <w:hyperlink r:id="rId9" w:history="1">
        <w:r w:rsidR="00441B23" w:rsidRPr="00C0579B">
          <w:rPr>
            <w:rStyle w:val="Hyperlink"/>
            <w:sz w:val="28"/>
          </w:rPr>
          <w:t>jrussell@monroviaschools.net</w:t>
        </w:r>
      </w:hyperlink>
    </w:p>
    <w:p w:rsidR="00441B23" w:rsidRPr="00E23960" w:rsidRDefault="00441B23" w:rsidP="00E23960">
      <w:pPr>
        <w:rPr>
          <w:sz w:val="28"/>
        </w:rPr>
      </w:pPr>
    </w:p>
    <w:p w:rsidR="008359A5" w:rsidRPr="008359A5" w:rsidRDefault="008359A5" w:rsidP="008359A5"/>
    <w:p w:rsidR="0049081E" w:rsidRDefault="0049081E"/>
    <w:p w:rsidR="00DF629F" w:rsidRDefault="00DF629F">
      <w:r>
        <w:br w:type="page"/>
      </w:r>
    </w:p>
    <w:sdt>
      <w:sdtPr>
        <w:rPr>
          <w:rFonts w:asciiTheme="minorHAnsi" w:eastAsiaTheme="minorEastAsia" w:hAnsiTheme="minorHAnsi" w:cstheme="minorBidi"/>
          <w:color w:val="auto"/>
          <w:sz w:val="22"/>
          <w:szCs w:val="22"/>
          <w:lang w:eastAsia="zh-CN"/>
        </w:rPr>
        <w:id w:val="-201402922"/>
        <w:docPartObj>
          <w:docPartGallery w:val="Table of Contents"/>
          <w:docPartUnique/>
        </w:docPartObj>
      </w:sdtPr>
      <w:sdtEndPr>
        <w:rPr>
          <w:b/>
          <w:bCs/>
          <w:noProof/>
        </w:rPr>
      </w:sdtEndPr>
      <w:sdtContent>
        <w:p w:rsidR="00AC4841" w:rsidRDefault="00AC4841" w:rsidP="006B6592">
          <w:pPr>
            <w:pStyle w:val="TOCHeading"/>
            <w:jc w:val="center"/>
          </w:pPr>
          <w:r>
            <w:t>Table of Contents</w:t>
          </w:r>
        </w:p>
        <w:p w:rsidR="008131BE" w:rsidRDefault="00AC4841">
          <w:pPr>
            <w:pStyle w:val="TOC1"/>
            <w:tabs>
              <w:tab w:val="right" w:leader="dot" w:pos="9350"/>
            </w:tabs>
            <w:rPr>
              <w:noProof/>
            </w:rPr>
          </w:pPr>
          <w:r>
            <w:fldChar w:fldCharType="begin"/>
          </w:r>
          <w:r>
            <w:instrText xml:space="preserve"> TOC \o "1-3" \h \z \u </w:instrText>
          </w:r>
          <w:r>
            <w:fldChar w:fldCharType="separate"/>
          </w:r>
          <w:hyperlink w:anchor="_Toc10804123" w:history="1">
            <w:r w:rsidR="008131BE" w:rsidRPr="000752AF">
              <w:rPr>
                <w:rStyle w:val="Hyperlink"/>
                <w:rFonts w:cs="Tahoma"/>
                <w:b/>
                <w:noProof/>
              </w:rPr>
              <w:t>Section 1: Consortium Information</w:t>
            </w:r>
            <w:r w:rsidR="008131BE">
              <w:rPr>
                <w:noProof/>
                <w:webHidden/>
              </w:rPr>
              <w:tab/>
            </w:r>
            <w:r w:rsidR="008131BE">
              <w:rPr>
                <w:noProof/>
                <w:webHidden/>
              </w:rPr>
              <w:fldChar w:fldCharType="begin"/>
            </w:r>
            <w:r w:rsidR="008131BE">
              <w:rPr>
                <w:noProof/>
                <w:webHidden/>
              </w:rPr>
              <w:instrText xml:space="preserve"> PAGEREF _Toc10804123 \h </w:instrText>
            </w:r>
            <w:r w:rsidR="008131BE">
              <w:rPr>
                <w:noProof/>
                <w:webHidden/>
              </w:rPr>
            </w:r>
            <w:r w:rsidR="008131BE">
              <w:rPr>
                <w:noProof/>
                <w:webHidden/>
              </w:rPr>
              <w:fldChar w:fldCharType="separate"/>
            </w:r>
            <w:r w:rsidR="008131BE">
              <w:rPr>
                <w:noProof/>
                <w:webHidden/>
              </w:rPr>
              <w:t>i</w:t>
            </w:r>
            <w:r w:rsidR="008131BE">
              <w:rPr>
                <w:noProof/>
                <w:webHidden/>
              </w:rPr>
              <w:fldChar w:fldCharType="end"/>
            </w:r>
          </w:hyperlink>
        </w:p>
        <w:p w:rsidR="008131BE" w:rsidRDefault="008131BE">
          <w:pPr>
            <w:pStyle w:val="TOC1"/>
            <w:tabs>
              <w:tab w:val="right" w:leader="dot" w:pos="9350"/>
            </w:tabs>
            <w:rPr>
              <w:noProof/>
            </w:rPr>
          </w:pPr>
          <w:hyperlink w:anchor="_Toc10804124" w:history="1">
            <w:r w:rsidRPr="000752AF">
              <w:rPr>
                <w:rStyle w:val="Hyperlink"/>
                <w:b/>
                <w:noProof/>
              </w:rPr>
              <w:t>Section 2: Comprehensive Regional Three-Year Plan</w:t>
            </w:r>
            <w:r>
              <w:rPr>
                <w:noProof/>
                <w:webHidden/>
              </w:rPr>
              <w:tab/>
            </w:r>
            <w:r>
              <w:rPr>
                <w:noProof/>
                <w:webHidden/>
              </w:rPr>
              <w:fldChar w:fldCharType="begin"/>
            </w:r>
            <w:r>
              <w:rPr>
                <w:noProof/>
                <w:webHidden/>
              </w:rPr>
              <w:instrText xml:space="preserve"> PAGEREF _Toc10804124 \h </w:instrText>
            </w:r>
            <w:r>
              <w:rPr>
                <w:noProof/>
                <w:webHidden/>
              </w:rPr>
            </w:r>
            <w:r>
              <w:rPr>
                <w:noProof/>
                <w:webHidden/>
              </w:rPr>
              <w:fldChar w:fldCharType="separate"/>
            </w:r>
            <w:r>
              <w:rPr>
                <w:noProof/>
                <w:webHidden/>
              </w:rPr>
              <w:t>1</w:t>
            </w:r>
            <w:r>
              <w:rPr>
                <w:noProof/>
                <w:webHidden/>
              </w:rPr>
              <w:fldChar w:fldCharType="end"/>
            </w:r>
          </w:hyperlink>
        </w:p>
        <w:p w:rsidR="008131BE" w:rsidRDefault="008131BE">
          <w:pPr>
            <w:pStyle w:val="TOC2"/>
            <w:tabs>
              <w:tab w:val="right" w:leader="dot" w:pos="9350"/>
            </w:tabs>
            <w:rPr>
              <w:noProof/>
            </w:rPr>
          </w:pPr>
          <w:hyperlink w:anchor="_Toc10804125" w:history="1">
            <w:r w:rsidRPr="000752AF">
              <w:rPr>
                <w:rStyle w:val="Hyperlink"/>
                <w:b/>
                <w:noProof/>
              </w:rPr>
              <w:t>Section 2.1 Executive Summary</w:t>
            </w:r>
            <w:r>
              <w:rPr>
                <w:noProof/>
                <w:webHidden/>
              </w:rPr>
              <w:tab/>
            </w:r>
            <w:r>
              <w:rPr>
                <w:noProof/>
                <w:webHidden/>
              </w:rPr>
              <w:fldChar w:fldCharType="begin"/>
            </w:r>
            <w:r>
              <w:rPr>
                <w:noProof/>
                <w:webHidden/>
              </w:rPr>
              <w:instrText xml:space="preserve"> PAGEREF _Toc10804125 \h </w:instrText>
            </w:r>
            <w:r>
              <w:rPr>
                <w:noProof/>
                <w:webHidden/>
              </w:rPr>
            </w:r>
            <w:r>
              <w:rPr>
                <w:noProof/>
                <w:webHidden/>
              </w:rPr>
              <w:fldChar w:fldCharType="separate"/>
            </w:r>
            <w:r>
              <w:rPr>
                <w:noProof/>
                <w:webHidden/>
              </w:rPr>
              <w:t>1</w:t>
            </w:r>
            <w:r>
              <w:rPr>
                <w:noProof/>
                <w:webHidden/>
              </w:rPr>
              <w:fldChar w:fldCharType="end"/>
            </w:r>
          </w:hyperlink>
        </w:p>
        <w:p w:rsidR="008131BE" w:rsidRDefault="008131BE">
          <w:pPr>
            <w:pStyle w:val="TOC2"/>
            <w:tabs>
              <w:tab w:val="right" w:leader="dot" w:pos="9350"/>
            </w:tabs>
            <w:rPr>
              <w:noProof/>
            </w:rPr>
          </w:pPr>
          <w:hyperlink w:anchor="_Toc10804126" w:history="1">
            <w:r w:rsidRPr="000752AF">
              <w:rPr>
                <w:rStyle w:val="Hyperlink"/>
                <w:b/>
                <w:noProof/>
              </w:rPr>
              <w:t>Section 2.2 Pre-Planning Assessment</w:t>
            </w:r>
            <w:r>
              <w:rPr>
                <w:noProof/>
                <w:webHidden/>
              </w:rPr>
              <w:tab/>
            </w:r>
            <w:r>
              <w:rPr>
                <w:noProof/>
                <w:webHidden/>
              </w:rPr>
              <w:fldChar w:fldCharType="begin"/>
            </w:r>
            <w:r>
              <w:rPr>
                <w:noProof/>
                <w:webHidden/>
              </w:rPr>
              <w:instrText xml:space="preserve"> PAGEREF _Toc10804126 \h </w:instrText>
            </w:r>
            <w:r>
              <w:rPr>
                <w:noProof/>
                <w:webHidden/>
              </w:rPr>
            </w:r>
            <w:r>
              <w:rPr>
                <w:noProof/>
                <w:webHidden/>
              </w:rPr>
              <w:fldChar w:fldCharType="separate"/>
            </w:r>
            <w:r>
              <w:rPr>
                <w:noProof/>
                <w:webHidden/>
              </w:rPr>
              <w:t>3</w:t>
            </w:r>
            <w:r>
              <w:rPr>
                <w:noProof/>
                <w:webHidden/>
              </w:rPr>
              <w:fldChar w:fldCharType="end"/>
            </w:r>
          </w:hyperlink>
        </w:p>
        <w:p w:rsidR="008131BE" w:rsidRDefault="008131BE">
          <w:pPr>
            <w:pStyle w:val="TOC3"/>
            <w:tabs>
              <w:tab w:val="right" w:leader="dot" w:pos="9350"/>
            </w:tabs>
            <w:rPr>
              <w:noProof/>
            </w:rPr>
          </w:pPr>
          <w:hyperlink w:anchor="_Toc10804127" w:history="1">
            <w:r w:rsidRPr="000752AF">
              <w:rPr>
                <w:rStyle w:val="Hyperlink"/>
                <w:noProof/>
              </w:rPr>
              <w:t>Consortium Capacity and Evaluation of Current Programs</w:t>
            </w:r>
            <w:r>
              <w:rPr>
                <w:noProof/>
                <w:webHidden/>
              </w:rPr>
              <w:tab/>
            </w:r>
            <w:r>
              <w:rPr>
                <w:noProof/>
                <w:webHidden/>
              </w:rPr>
              <w:fldChar w:fldCharType="begin"/>
            </w:r>
            <w:r>
              <w:rPr>
                <w:noProof/>
                <w:webHidden/>
              </w:rPr>
              <w:instrText xml:space="preserve"> PAGEREF _Toc10804127 \h </w:instrText>
            </w:r>
            <w:r>
              <w:rPr>
                <w:noProof/>
                <w:webHidden/>
              </w:rPr>
            </w:r>
            <w:r>
              <w:rPr>
                <w:noProof/>
                <w:webHidden/>
              </w:rPr>
              <w:fldChar w:fldCharType="separate"/>
            </w:r>
            <w:r>
              <w:rPr>
                <w:noProof/>
                <w:webHidden/>
              </w:rPr>
              <w:t>3</w:t>
            </w:r>
            <w:r>
              <w:rPr>
                <w:noProof/>
                <w:webHidden/>
              </w:rPr>
              <w:fldChar w:fldCharType="end"/>
            </w:r>
          </w:hyperlink>
        </w:p>
        <w:p w:rsidR="008131BE" w:rsidRDefault="008131BE">
          <w:pPr>
            <w:pStyle w:val="TOC3"/>
            <w:tabs>
              <w:tab w:val="right" w:leader="dot" w:pos="9350"/>
            </w:tabs>
            <w:rPr>
              <w:noProof/>
            </w:rPr>
          </w:pPr>
          <w:hyperlink w:anchor="_Toc10804128" w:history="1">
            <w:r w:rsidRPr="000752AF">
              <w:rPr>
                <w:rStyle w:val="Hyperlink"/>
                <w:noProof/>
              </w:rPr>
              <w:t>Table 4 – Student Enrollment by Program over Previous Two Years</w:t>
            </w:r>
            <w:r>
              <w:rPr>
                <w:noProof/>
                <w:webHidden/>
              </w:rPr>
              <w:tab/>
            </w:r>
            <w:r>
              <w:rPr>
                <w:noProof/>
                <w:webHidden/>
              </w:rPr>
              <w:fldChar w:fldCharType="begin"/>
            </w:r>
            <w:r>
              <w:rPr>
                <w:noProof/>
                <w:webHidden/>
              </w:rPr>
              <w:instrText xml:space="preserve"> PAGEREF _Toc10804128 \h </w:instrText>
            </w:r>
            <w:r>
              <w:rPr>
                <w:noProof/>
                <w:webHidden/>
              </w:rPr>
            </w:r>
            <w:r>
              <w:rPr>
                <w:noProof/>
                <w:webHidden/>
              </w:rPr>
              <w:fldChar w:fldCharType="separate"/>
            </w:r>
            <w:r>
              <w:rPr>
                <w:noProof/>
                <w:webHidden/>
              </w:rPr>
              <w:t>4</w:t>
            </w:r>
            <w:r>
              <w:rPr>
                <w:noProof/>
                <w:webHidden/>
              </w:rPr>
              <w:fldChar w:fldCharType="end"/>
            </w:r>
          </w:hyperlink>
        </w:p>
        <w:p w:rsidR="008131BE" w:rsidRDefault="008131BE">
          <w:pPr>
            <w:pStyle w:val="TOC3"/>
            <w:tabs>
              <w:tab w:val="right" w:leader="dot" w:pos="9350"/>
            </w:tabs>
            <w:rPr>
              <w:noProof/>
            </w:rPr>
          </w:pPr>
          <w:hyperlink w:anchor="_Toc10804129" w:history="1">
            <w:r w:rsidRPr="000752AF">
              <w:rPr>
                <w:rStyle w:val="Hyperlink"/>
                <w:noProof/>
              </w:rPr>
              <w:t>Key Partners</w:t>
            </w:r>
            <w:r>
              <w:rPr>
                <w:noProof/>
                <w:webHidden/>
              </w:rPr>
              <w:tab/>
            </w:r>
            <w:r>
              <w:rPr>
                <w:noProof/>
                <w:webHidden/>
              </w:rPr>
              <w:fldChar w:fldCharType="begin"/>
            </w:r>
            <w:r>
              <w:rPr>
                <w:noProof/>
                <w:webHidden/>
              </w:rPr>
              <w:instrText xml:space="preserve"> PAGEREF _Toc10804129 \h </w:instrText>
            </w:r>
            <w:r>
              <w:rPr>
                <w:noProof/>
                <w:webHidden/>
              </w:rPr>
            </w:r>
            <w:r>
              <w:rPr>
                <w:noProof/>
                <w:webHidden/>
              </w:rPr>
              <w:fldChar w:fldCharType="separate"/>
            </w:r>
            <w:r>
              <w:rPr>
                <w:noProof/>
                <w:webHidden/>
              </w:rPr>
              <w:t>5</w:t>
            </w:r>
            <w:r>
              <w:rPr>
                <w:noProof/>
                <w:webHidden/>
              </w:rPr>
              <w:fldChar w:fldCharType="end"/>
            </w:r>
          </w:hyperlink>
        </w:p>
        <w:p w:rsidR="008131BE" w:rsidRDefault="008131BE">
          <w:pPr>
            <w:pStyle w:val="TOC3"/>
            <w:tabs>
              <w:tab w:val="right" w:leader="dot" w:pos="9350"/>
            </w:tabs>
            <w:rPr>
              <w:noProof/>
            </w:rPr>
          </w:pPr>
          <w:hyperlink w:anchor="_Toc10804130" w:history="1">
            <w:r w:rsidRPr="000752AF">
              <w:rPr>
                <w:rStyle w:val="Hyperlink"/>
                <w:noProof/>
              </w:rPr>
              <w:t>Alignment of Services</w:t>
            </w:r>
            <w:r>
              <w:rPr>
                <w:noProof/>
                <w:webHidden/>
              </w:rPr>
              <w:tab/>
            </w:r>
            <w:r>
              <w:rPr>
                <w:noProof/>
                <w:webHidden/>
              </w:rPr>
              <w:fldChar w:fldCharType="begin"/>
            </w:r>
            <w:r>
              <w:rPr>
                <w:noProof/>
                <w:webHidden/>
              </w:rPr>
              <w:instrText xml:space="preserve"> PAGEREF _Toc10804130 \h </w:instrText>
            </w:r>
            <w:r>
              <w:rPr>
                <w:noProof/>
                <w:webHidden/>
              </w:rPr>
            </w:r>
            <w:r>
              <w:rPr>
                <w:noProof/>
                <w:webHidden/>
              </w:rPr>
              <w:fldChar w:fldCharType="separate"/>
            </w:r>
            <w:r>
              <w:rPr>
                <w:noProof/>
                <w:webHidden/>
              </w:rPr>
              <w:t>6</w:t>
            </w:r>
            <w:r>
              <w:rPr>
                <w:noProof/>
                <w:webHidden/>
              </w:rPr>
              <w:fldChar w:fldCharType="end"/>
            </w:r>
          </w:hyperlink>
        </w:p>
        <w:p w:rsidR="008131BE" w:rsidRDefault="008131BE">
          <w:pPr>
            <w:pStyle w:val="TOC3"/>
            <w:tabs>
              <w:tab w:val="right" w:leader="dot" w:pos="9350"/>
            </w:tabs>
            <w:rPr>
              <w:noProof/>
            </w:rPr>
          </w:pPr>
          <w:hyperlink w:anchor="_Toc10804131" w:history="1">
            <w:r w:rsidRPr="000752AF">
              <w:rPr>
                <w:rStyle w:val="Hyperlink"/>
                <w:noProof/>
              </w:rPr>
              <w:t>Table 1. Regional Service Providers</w:t>
            </w:r>
            <w:r>
              <w:rPr>
                <w:noProof/>
                <w:webHidden/>
              </w:rPr>
              <w:tab/>
            </w:r>
            <w:r>
              <w:rPr>
                <w:noProof/>
                <w:webHidden/>
              </w:rPr>
              <w:fldChar w:fldCharType="begin"/>
            </w:r>
            <w:r>
              <w:rPr>
                <w:noProof/>
                <w:webHidden/>
              </w:rPr>
              <w:instrText xml:space="preserve"> PAGEREF _Toc10804131 \h </w:instrText>
            </w:r>
            <w:r>
              <w:rPr>
                <w:noProof/>
                <w:webHidden/>
              </w:rPr>
            </w:r>
            <w:r>
              <w:rPr>
                <w:noProof/>
                <w:webHidden/>
              </w:rPr>
              <w:fldChar w:fldCharType="separate"/>
            </w:r>
            <w:r>
              <w:rPr>
                <w:noProof/>
                <w:webHidden/>
              </w:rPr>
              <w:t>7</w:t>
            </w:r>
            <w:r>
              <w:rPr>
                <w:noProof/>
                <w:webHidden/>
              </w:rPr>
              <w:fldChar w:fldCharType="end"/>
            </w:r>
          </w:hyperlink>
        </w:p>
        <w:p w:rsidR="008131BE" w:rsidRDefault="008131BE">
          <w:pPr>
            <w:pStyle w:val="TOC3"/>
            <w:tabs>
              <w:tab w:val="right" w:leader="dot" w:pos="9350"/>
            </w:tabs>
            <w:rPr>
              <w:noProof/>
            </w:rPr>
          </w:pPr>
          <w:hyperlink w:anchor="_Toc10804132" w:history="1">
            <w:r w:rsidRPr="000752AF">
              <w:rPr>
                <w:rStyle w:val="Hyperlink"/>
                <w:noProof/>
              </w:rPr>
              <w:t>Table 2. Funding for Adult Education Programs and Services</w:t>
            </w:r>
            <w:r>
              <w:rPr>
                <w:noProof/>
                <w:webHidden/>
              </w:rPr>
              <w:tab/>
            </w:r>
            <w:r>
              <w:rPr>
                <w:noProof/>
                <w:webHidden/>
              </w:rPr>
              <w:fldChar w:fldCharType="begin"/>
            </w:r>
            <w:r>
              <w:rPr>
                <w:noProof/>
                <w:webHidden/>
              </w:rPr>
              <w:instrText xml:space="preserve"> PAGEREF _Toc10804132 \h </w:instrText>
            </w:r>
            <w:r>
              <w:rPr>
                <w:noProof/>
                <w:webHidden/>
              </w:rPr>
            </w:r>
            <w:r>
              <w:rPr>
                <w:noProof/>
                <w:webHidden/>
              </w:rPr>
              <w:fldChar w:fldCharType="separate"/>
            </w:r>
            <w:r>
              <w:rPr>
                <w:noProof/>
                <w:webHidden/>
              </w:rPr>
              <w:t>12</w:t>
            </w:r>
            <w:r>
              <w:rPr>
                <w:noProof/>
                <w:webHidden/>
              </w:rPr>
              <w:fldChar w:fldCharType="end"/>
            </w:r>
          </w:hyperlink>
        </w:p>
        <w:p w:rsidR="008131BE" w:rsidRDefault="008131BE">
          <w:pPr>
            <w:pStyle w:val="TOC2"/>
            <w:tabs>
              <w:tab w:val="right" w:leader="dot" w:pos="9350"/>
            </w:tabs>
            <w:rPr>
              <w:noProof/>
            </w:rPr>
          </w:pPr>
          <w:hyperlink w:anchor="_Toc10804133" w:history="1">
            <w:r w:rsidRPr="000752AF">
              <w:rPr>
                <w:rStyle w:val="Hyperlink"/>
                <w:b/>
                <w:noProof/>
              </w:rPr>
              <w:t>Section 2.3 Community Needs and Customers</w:t>
            </w:r>
            <w:bookmarkStart w:id="1" w:name="_GoBack"/>
            <w:bookmarkEnd w:id="1"/>
            <w:r>
              <w:rPr>
                <w:noProof/>
                <w:webHidden/>
              </w:rPr>
              <w:tab/>
            </w:r>
            <w:r>
              <w:rPr>
                <w:noProof/>
                <w:webHidden/>
              </w:rPr>
              <w:fldChar w:fldCharType="begin"/>
            </w:r>
            <w:r>
              <w:rPr>
                <w:noProof/>
                <w:webHidden/>
              </w:rPr>
              <w:instrText xml:space="preserve"> PAGEREF _Toc10804133 \h </w:instrText>
            </w:r>
            <w:r>
              <w:rPr>
                <w:noProof/>
                <w:webHidden/>
              </w:rPr>
            </w:r>
            <w:r>
              <w:rPr>
                <w:noProof/>
                <w:webHidden/>
              </w:rPr>
              <w:fldChar w:fldCharType="separate"/>
            </w:r>
            <w:r>
              <w:rPr>
                <w:noProof/>
                <w:webHidden/>
              </w:rPr>
              <w:t>13</w:t>
            </w:r>
            <w:r>
              <w:rPr>
                <w:noProof/>
                <w:webHidden/>
              </w:rPr>
              <w:fldChar w:fldCharType="end"/>
            </w:r>
          </w:hyperlink>
        </w:p>
        <w:p w:rsidR="008131BE" w:rsidRDefault="008131BE">
          <w:pPr>
            <w:pStyle w:val="TOC3"/>
            <w:tabs>
              <w:tab w:val="right" w:leader="dot" w:pos="9350"/>
            </w:tabs>
            <w:rPr>
              <w:noProof/>
            </w:rPr>
          </w:pPr>
          <w:hyperlink w:anchor="_Toc10804134" w:history="1">
            <w:r w:rsidRPr="000752AF">
              <w:rPr>
                <w:rStyle w:val="Hyperlink"/>
                <w:rFonts w:cs="Times New Roman"/>
                <w:noProof/>
              </w:rPr>
              <w:t>CCAEC Current Student Population</w:t>
            </w:r>
            <w:r>
              <w:rPr>
                <w:noProof/>
                <w:webHidden/>
              </w:rPr>
              <w:tab/>
            </w:r>
            <w:r>
              <w:rPr>
                <w:noProof/>
                <w:webHidden/>
              </w:rPr>
              <w:fldChar w:fldCharType="begin"/>
            </w:r>
            <w:r>
              <w:rPr>
                <w:noProof/>
                <w:webHidden/>
              </w:rPr>
              <w:instrText xml:space="preserve"> PAGEREF _Toc10804134 \h </w:instrText>
            </w:r>
            <w:r>
              <w:rPr>
                <w:noProof/>
                <w:webHidden/>
              </w:rPr>
            </w:r>
            <w:r>
              <w:rPr>
                <w:noProof/>
                <w:webHidden/>
              </w:rPr>
              <w:fldChar w:fldCharType="separate"/>
            </w:r>
            <w:r>
              <w:rPr>
                <w:noProof/>
                <w:webHidden/>
              </w:rPr>
              <w:t>13</w:t>
            </w:r>
            <w:r>
              <w:rPr>
                <w:noProof/>
                <w:webHidden/>
              </w:rPr>
              <w:fldChar w:fldCharType="end"/>
            </w:r>
          </w:hyperlink>
        </w:p>
        <w:p w:rsidR="008131BE" w:rsidRDefault="008131BE">
          <w:pPr>
            <w:pStyle w:val="TOC3"/>
            <w:tabs>
              <w:tab w:val="right" w:leader="dot" w:pos="9350"/>
            </w:tabs>
            <w:rPr>
              <w:noProof/>
            </w:rPr>
          </w:pPr>
          <w:hyperlink w:anchor="_Toc10804135" w:history="1">
            <w:r w:rsidRPr="000752AF">
              <w:rPr>
                <w:rStyle w:val="Hyperlink"/>
                <w:rFonts w:cs="Times New Roman"/>
                <w:noProof/>
              </w:rPr>
              <w:t>Table 5 – Azusa 2017-18 Student Enrollment by City: Total &amp; % of Total</w:t>
            </w:r>
            <w:r>
              <w:rPr>
                <w:noProof/>
                <w:webHidden/>
              </w:rPr>
              <w:tab/>
            </w:r>
            <w:r>
              <w:rPr>
                <w:noProof/>
                <w:webHidden/>
              </w:rPr>
              <w:fldChar w:fldCharType="begin"/>
            </w:r>
            <w:r>
              <w:rPr>
                <w:noProof/>
                <w:webHidden/>
              </w:rPr>
              <w:instrText xml:space="preserve"> PAGEREF _Toc10804135 \h </w:instrText>
            </w:r>
            <w:r>
              <w:rPr>
                <w:noProof/>
                <w:webHidden/>
              </w:rPr>
            </w:r>
            <w:r>
              <w:rPr>
                <w:noProof/>
                <w:webHidden/>
              </w:rPr>
              <w:fldChar w:fldCharType="separate"/>
            </w:r>
            <w:r>
              <w:rPr>
                <w:noProof/>
                <w:webHidden/>
              </w:rPr>
              <w:t>13</w:t>
            </w:r>
            <w:r>
              <w:rPr>
                <w:noProof/>
                <w:webHidden/>
              </w:rPr>
              <w:fldChar w:fldCharType="end"/>
            </w:r>
          </w:hyperlink>
        </w:p>
        <w:p w:rsidR="008131BE" w:rsidRDefault="008131BE">
          <w:pPr>
            <w:pStyle w:val="TOC3"/>
            <w:tabs>
              <w:tab w:val="right" w:leader="dot" w:pos="9350"/>
            </w:tabs>
            <w:rPr>
              <w:noProof/>
            </w:rPr>
          </w:pPr>
          <w:hyperlink w:anchor="_Toc10804136" w:history="1">
            <w:r w:rsidRPr="000752AF">
              <w:rPr>
                <w:rStyle w:val="Hyperlink"/>
                <w:rFonts w:cs="Times New Roman"/>
                <w:noProof/>
              </w:rPr>
              <w:t>Table 6 – Citrus College 2017-18 AEP Student Enrollment by City: Total &amp; % of Total</w:t>
            </w:r>
            <w:r>
              <w:rPr>
                <w:noProof/>
                <w:webHidden/>
              </w:rPr>
              <w:tab/>
            </w:r>
            <w:r>
              <w:rPr>
                <w:noProof/>
                <w:webHidden/>
              </w:rPr>
              <w:fldChar w:fldCharType="begin"/>
            </w:r>
            <w:r>
              <w:rPr>
                <w:noProof/>
                <w:webHidden/>
              </w:rPr>
              <w:instrText xml:space="preserve"> PAGEREF _Toc10804136 \h </w:instrText>
            </w:r>
            <w:r>
              <w:rPr>
                <w:noProof/>
                <w:webHidden/>
              </w:rPr>
            </w:r>
            <w:r>
              <w:rPr>
                <w:noProof/>
                <w:webHidden/>
              </w:rPr>
              <w:fldChar w:fldCharType="separate"/>
            </w:r>
            <w:r>
              <w:rPr>
                <w:noProof/>
                <w:webHidden/>
              </w:rPr>
              <w:t>14</w:t>
            </w:r>
            <w:r>
              <w:rPr>
                <w:noProof/>
                <w:webHidden/>
              </w:rPr>
              <w:fldChar w:fldCharType="end"/>
            </w:r>
          </w:hyperlink>
        </w:p>
        <w:p w:rsidR="008131BE" w:rsidRDefault="008131BE">
          <w:pPr>
            <w:pStyle w:val="TOC3"/>
            <w:tabs>
              <w:tab w:val="right" w:leader="dot" w:pos="9350"/>
            </w:tabs>
            <w:rPr>
              <w:noProof/>
            </w:rPr>
          </w:pPr>
          <w:hyperlink w:anchor="_Toc10804137" w:history="1">
            <w:r w:rsidRPr="000752AF">
              <w:rPr>
                <w:rStyle w:val="Hyperlink"/>
                <w:rFonts w:cs="Times New Roman"/>
                <w:noProof/>
              </w:rPr>
              <w:t>Table 7 – Claremont 2017-18 Student Population by City: Total &amp; % of Total</w:t>
            </w:r>
            <w:r>
              <w:rPr>
                <w:noProof/>
                <w:webHidden/>
              </w:rPr>
              <w:tab/>
            </w:r>
            <w:r>
              <w:rPr>
                <w:noProof/>
                <w:webHidden/>
              </w:rPr>
              <w:fldChar w:fldCharType="begin"/>
            </w:r>
            <w:r>
              <w:rPr>
                <w:noProof/>
                <w:webHidden/>
              </w:rPr>
              <w:instrText xml:space="preserve"> PAGEREF _Toc10804137 \h </w:instrText>
            </w:r>
            <w:r>
              <w:rPr>
                <w:noProof/>
                <w:webHidden/>
              </w:rPr>
            </w:r>
            <w:r>
              <w:rPr>
                <w:noProof/>
                <w:webHidden/>
              </w:rPr>
              <w:fldChar w:fldCharType="separate"/>
            </w:r>
            <w:r>
              <w:rPr>
                <w:noProof/>
                <w:webHidden/>
              </w:rPr>
              <w:t>14</w:t>
            </w:r>
            <w:r>
              <w:rPr>
                <w:noProof/>
                <w:webHidden/>
              </w:rPr>
              <w:fldChar w:fldCharType="end"/>
            </w:r>
          </w:hyperlink>
        </w:p>
        <w:p w:rsidR="008131BE" w:rsidRDefault="008131BE">
          <w:pPr>
            <w:pStyle w:val="TOC3"/>
            <w:tabs>
              <w:tab w:val="right" w:leader="dot" w:pos="9350"/>
            </w:tabs>
            <w:rPr>
              <w:noProof/>
            </w:rPr>
          </w:pPr>
          <w:hyperlink w:anchor="_Toc10804138" w:history="1">
            <w:r w:rsidRPr="000752AF">
              <w:rPr>
                <w:rStyle w:val="Hyperlink"/>
                <w:rFonts w:cs="Times New Roman"/>
                <w:noProof/>
              </w:rPr>
              <w:t>Table 8 – Glendora 2017-18 Student Population by City: Total &amp; % of Total</w:t>
            </w:r>
            <w:r>
              <w:rPr>
                <w:noProof/>
                <w:webHidden/>
              </w:rPr>
              <w:tab/>
            </w:r>
            <w:r>
              <w:rPr>
                <w:noProof/>
                <w:webHidden/>
              </w:rPr>
              <w:fldChar w:fldCharType="begin"/>
            </w:r>
            <w:r>
              <w:rPr>
                <w:noProof/>
                <w:webHidden/>
              </w:rPr>
              <w:instrText xml:space="preserve"> PAGEREF _Toc10804138 \h </w:instrText>
            </w:r>
            <w:r>
              <w:rPr>
                <w:noProof/>
                <w:webHidden/>
              </w:rPr>
            </w:r>
            <w:r>
              <w:rPr>
                <w:noProof/>
                <w:webHidden/>
              </w:rPr>
              <w:fldChar w:fldCharType="separate"/>
            </w:r>
            <w:r>
              <w:rPr>
                <w:noProof/>
                <w:webHidden/>
              </w:rPr>
              <w:t>15</w:t>
            </w:r>
            <w:r>
              <w:rPr>
                <w:noProof/>
                <w:webHidden/>
              </w:rPr>
              <w:fldChar w:fldCharType="end"/>
            </w:r>
          </w:hyperlink>
        </w:p>
        <w:p w:rsidR="008131BE" w:rsidRDefault="008131BE">
          <w:pPr>
            <w:pStyle w:val="TOC3"/>
            <w:tabs>
              <w:tab w:val="right" w:leader="dot" w:pos="9350"/>
            </w:tabs>
            <w:rPr>
              <w:noProof/>
            </w:rPr>
          </w:pPr>
          <w:hyperlink w:anchor="_Toc10804139" w:history="1">
            <w:r w:rsidRPr="000752AF">
              <w:rPr>
                <w:rStyle w:val="Hyperlink"/>
                <w:rFonts w:cs="Times New Roman"/>
                <w:noProof/>
              </w:rPr>
              <w:t>Table 9 – Monrovia 2017-18 Student Population by City: Total &amp; % of Total</w:t>
            </w:r>
            <w:r>
              <w:rPr>
                <w:noProof/>
                <w:webHidden/>
              </w:rPr>
              <w:tab/>
            </w:r>
            <w:r>
              <w:rPr>
                <w:noProof/>
                <w:webHidden/>
              </w:rPr>
              <w:fldChar w:fldCharType="begin"/>
            </w:r>
            <w:r>
              <w:rPr>
                <w:noProof/>
                <w:webHidden/>
              </w:rPr>
              <w:instrText xml:space="preserve"> PAGEREF _Toc10804139 \h </w:instrText>
            </w:r>
            <w:r>
              <w:rPr>
                <w:noProof/>
                <w:webHidden/>
              </w:rPr>
            </w:r>
            <w:r>
              <w:rPr>
                <w:noProof/>
                <w:webHidden/>
              </w:rPr>
              <w:fldChar w:fldCharType="separate"/>
            </w:r>
            <w:r>
              <w:rPr>
                <w:noProof/>
                <w:webHidden/>
              </w:rPr>
              <w:t>15</w:t>
            </w:r>
            <w:r>
              <w:rPr>
                <w:noProof/>
                <w:webHidden/>
              </w:rPr>
              <w:fldChar w:fldCharType="end"/>
            </w:r>
          </w:hyperlink>
        </w:p>
        <w:p w:rsidR="008131BE" w:rsidRDefault="008131BE">
          <w:pPr>
            <w:pStyle w:val="TOC3"/>
            <w:tabs>
              <w:tab w:val="right" w:leader="dot" w:pos="9350"/>
            </w:tabs>
            <w:rPr>
              <w:noProof/>
            </w:rPr>
          </w:pPr>
          <w:hyperlink w:anchor="_Toc10804140" w:history="1">
            <w:r w:rsidRPr="000752AF">
              <w:rPr>
                <w:rStyle w:val="Hyperlink"/>
                <w:rFonts w:cs="Times New Roman"/>
                <w:noProof/>
              </w:rPr>
              <w:t>Table 10 – CCAEC Aggregate 2017-18 Student Population by City: Total &amp; % of Total</w:t>
            </w:r>
            <w:r>
              <w:rPr>
                <w:noProof/>
                <w:webHidden/>
              </w:rPr>
              <w:tab/>
            </w:r>
            <w:r>
              <w:rPr>
                <w:noProof/>
                <w:webHidden/>
              </w:rPr>
              <w:fldChar w:fldCharType="begin"/>
            </w:r>
            <w:r>
              <w:rPr>
                <w:noProof/>
                <w:webHidden/>
              </w:rPr>
              <w:instrText xml:space="preserve"> PAGEREF _Toc10804140 \h </w:instrText>
            </w:r>
            <w:r>
              <w:rPr>
                <w:noProof/>
                <w:webHidden/>
              </w:rPr>
            </w:r>
            <w:r>
              <w:rPr>
                <w:noProof/>
                <w:webHidden/>
              </w:rPr>
              <w:fldChar w:fldCharType="separate"/>
            </w:r>
            <w:r>
              <w:rPr>
                <w:noProof/>
                <w:webHidden/>
              </w:rPr>
              <w:t>16</w:t>
            </w:r>
            <w:r>
              <w:rPr>
                <w:noProof/>
                <w:webHidden/>
              </w:rPr>
              <w:fldChar w:fldCharType="end"/>
            </w:r>
          </w:hyperlink>
        </w:p>
        <w:p w:rsidR="008131BE" w:rsidRDefault="008131BE">
          <w:pPr>
            <w:pStyle w:val="TOC3"/>
            <w:tabs>
              <w:tab w:val="right" w:leader="dot" w:pos="9350"/>
            </w:tabs>
            <w:rPr>
              <w:noProof/>
            </w:rPr>
          </w:pPr>
          <w:hyperlink w:anchor="_Toc10804141" w:history="1">
            <w:r w:rsidRPr="000752AF">
              <w:rPr>
                <w:rStyle w:val="Hyperlink"/>
                <w:rFonts w:cs="Times New Roman"/>
                <w:noProof/>
              </w:rPr>
              <w:t>Community Profile: The Region We Serve</w:t>
            </w:r>
            <w:r>
              <w:rPr>
                <w:noProof/>
                <w:webHidden/>
              </w:rPr>
              <w:tab/>
            </w:r>
            <w:r>
              <w:rPr>
                <w:noProof/>
                <w:webHidden/>
              </w:rPr>
              <w:fldChar w:fldCharType="begin"/>
            </w:r>
            <w:r>
              <w:rPr>
                <w:noProof/>
                <w:webHidden/>
              </w:rPr>
              <w:instrText xml:space="preserve"> PAGEREF _Toc10804141 \h </w:instrText>
            </w:r>
            <w:r>
              <w:rPr>
                <w:noProof/>
                <w:webHidden/>
              </w:rPr>
            </w:r>
            <w:r>
              <w:rPr>
                <w:noProof/>
                <w:webHidden/>
              </w:rPr>
              <w:fldChar w:fldCharType="separate"/>
            </w:r>
            <w:r>
              <w:rPr>
                <w:noProof/>
                <w:webHidden/>
              </w:rPr>
              <w:t>17</w:t>
            </w:r>
            <w:r>
              <w:rPr>
                <w:noProof/>
                <w:webHidden/>
              </w:rPr>
              <w:fldChar w:fldCharType="end"/>
            </w:r>
          </w:hyperlink>
        </w:p>
        <w:p w:rsidR="008131BE" w:rsidRDefault="008131BE">
          <w:pPr>
            <w:pStyle w:val="TOC3"/>
            <w:tabs>
              <w:tab w:val="right" w:leader="dot" w:pos="9350"/>
            </w:tabs>
            <w:rPr>
              <w:noProof/>
            </w:rPr>
          </w:pPr>
          <w:hyperlink w:anchor="_Toc10804142" w:history="1">
            <w:r w:rsidRPr="000752AF">
              <w:rPr>
                <w:rStyle w:val="Hyperlink"/>
                <w:rFonts w:cs="Times New Roman"/>
                <w:noProof/>
              </w:rPr>
              <w:t>Table 11 – Characteristics of All Major Cities Served by CCAEC</w:t>
            </w:r>
            <w:r>
              <w:rPr>
                <w:noProof/>
                <w:webHidden/>
              </w:rPr>
              <w:tab/>
            </w:r>
            <w:r>
              <w:rPr>
                <w:noProof/>
                <w:webHidden/>
              </w:rPr>
              <w:fldChar w:fldCharType="begin"/>
            </w:r>
            <w:r>
              <w:rPr>
                <w:noProof/>
                <w:webHidden/>
              </w:rPr>
              <w:instrText xml:space="preserve"> PAGEREF _Toc10804142 \h </w:instrText>
            </w:r>
            <w:r>
              <w:rPr>
                <w:noProof/>
                <w:webHidden/>
              </w:rPr>
            </w:r>
            <w:r>
              <w:rPr>
                <w:noProof/>
                <w:webHidden/>
              </w:rPr>
              <w:fldChar w:fldCharType="separate"/>
            </w:r>
            <w:r>
              <w:rPr>
                <w:noProof/>
                <w:webHidden/>
              </w:rPr>
              <w:t>17</w:t>
            </w:r>
            <w:r>
              <w:rPr>
                <w:noProof/>
                <w:webHidden/>
              </w:rPr>
              <w:fldChar w:fldCharType="end"/>
            </w:r>
          </w:hyperlink>
        </w:p>
        <w:p w:rsidR="008131BE" w:rsidRDefault="008131BE">
          <w:pPr>
            <w:pStyle w:val="TOC3"/>
            <w:tabs>
              <w:tab w:val="right" w:leader="dot" w:pos="9350"/>
            </w:tabs>
            <w:rPr>
              <w:noProof/>
            </w:rPr>
          </w:pPr>
          <w:hyperlink w:anchor="_Toc10804143" w:history="1">
            <w:r w:rsidRPr="000752AF">
              <w:rPr>
                <w:rStyle w:val="Hyperlink"/>
                <w:rFonts w:cs="Times New Roman"/>
                <w:noProof/>
              </w:rPr>
              <w:t>Table 12 – Characteristics of the Seven Primary Cities Served by CCAEC</w:t>
            </w:r>
            <w:r>
              <w:rPr>
                <w:noProof/>
                <w:webHidden/>
              </w:rPr>
              <w:tab/>
            </w:r>
            <w:r>
              <w:rPr>
                <w:noProof/>
                <w:webHidden/>
              </w:rPr>
              <w:fldChar w:fldCharType="begin"/>
            </w:r>
            <w:r>
              <w:rPr>
                <w:noProof/>
                <w:webHidden/>
              </w:rPr>
              <w:instrText xml:space="preserve"> PAGEREF _Toc10804143 \h </w:instrText>
            </w:r>
            <w:r>
              <w:rPr>
                <w:noProof/>
                <w:webHidden/>
              </w:rPr>
            </w:r>
            <w:r>
              <w:rPr>
                <w:noProof/>
                <w:webHidden/>
              </w:rPr>
              <w:fldChar w:fldCharType="separate"/>
            </w:r>
            <w:r>
              <w:rPr>
                <w:noProof/>
                <w:webHidden/>
              </w:rPr>
              <w:t>18</w:t>
            </w:r>
            <w:r>
              <w:rPr>
                <w:noProof/>
                <w:webHidden/>
              </w:rPr>
              <w:fldChar w:fldCharType="end"/>
            </w:r>
          </w:hyperlink>
        </w:p>
        <w:p w:rsidR="008131BE" w:rsidRDefault="008131BE">
          <w:pPr>
            <w:pStyle w:val="TOC3"/>
            <w:tabs>
              <w:tab w:val="right" w:leader="dot" w:pos="9350"/>
            </w:tabs>
            <w:rPr>
              <w:noProof/>
            </w:rPr>
          </w:pPr>
          <w:hyperlink w:anchor="_Toc10804144" w:history="1">
            <w:r w:rsidRPr="000752AF">
              <w:rPr>
                <w:rStyle w:val="Hyperlink"/>
                <w:noProof/>
              </w:rPr>
              <w:t>Description of the Regional Job Market</w:t>
            </w:r>
            <w:r>
              <w:rPr>
                <w:noProof/>
                <w:webHidden/>
              </w:rPr>
              <w:tab/>
            </w:r>
            <w:r>
              <w:rPr>
                <w:noProof/>
                <w:webHidden/>
              </w:rPr>
              <w:fldChar w:fldCharType="begin"/>
            </w:r>
            <w:r>
              <w:rPr>
                <w:noProof/>
                <w:webHidden/>
              </w:rPr>
              <w:instrText xml:space="preserve"> PAGEREF _Toc10804144 \h </w:instrText>
            </w:r>
            <w:r>
              <w:rPr>
                <w:noProof/>
                <w:webHidden/>
              </w:rPr>
            </w:r>
            <w:r>
              <w:rPr>
                <w:noProof/>
                <w:webHidden/>
              </w:rPr>
              <w:fldChar w:fldCharType="separate"/>
            </w:r>
            <w:r>
              <w:rPr>
                <w:noProof/>
                <w:webHidden/>
              </w:rPr>
              <w:t>18</w:t>
            </w:r>
            <w:r>
              <w:rPr>
                <w:noProof/>
                <w:webHidden/>
              </w:rPr>
              <w:fldChar w:fldCharType="end"/>
            </w:r>
          </w:hyperlink>
        </w:p>
        <w:p w:rsidR="008131BE" w:rsidRDefault="008131BE">
          <w:pPr>
            <w:pStyle w:val="TOC3"/>
            <w:tabs>
              <w:tab w:val="right" w:leader="dot" w:pos="9350"/>
            </w:tabs>
            <w:rPr>
              <w:noProof/>
            </w:rPr>
          </w:pPr>
          <w:hyperlink w:anchor="_Toc10804145" w:history="1">
            <w:r w:rsidRPr="000752AF">
              <w:rPr>
                <w:rStyle w:val="Hyperlink"/>
                <w:noProof/>
              </w:rPr>
              <w:t>Alignment between Needs and Current Levels</w:t>
            </w:r>
            <w:r>
              <w:rPr>
                <w:noProof/>
                <w:webHidden/>
              </w:rPr>
              <w:tab/>
            </w:r>
            <w:r>
              <w:rPr>
                <w:noProof/>
                <w:webHidden/>
              </w:rPr>
              <w:fldChar w:fldCharType="begin"/>
            </w:r>
            <w:r>
              <w:rPr>
                <w:noProof/>
                <w:webHidden/>
              </w:rPr>
              <w:instrText xml:space="preserve"> PAGEREF _Toc10804145 \h </w:instrText>
            </w:r>
            <w:r>
              <w:rPr>
                <w:noProof/>
                <w:webHidden/>
              </w:rPr>
            </w:r>
            <w:r>
              <w:rPr>
                <w:noProof/>
                <w:webHidden/>
              </w:rPr>
              <w:fldChar w:fldCharType="separate"/>
            </w:r>
            <w:r>
              <w:rPr>
                <w:noProof/>
                <w:webHidden/>
              </w:rPr>
              <w:t>19</w:t>
            </w:r>
            <w:r>
              <w:rPr>
                <w:noProof/>
                <w:webHidden/>
              </w:rPr>
              <w:fldChar w:fldCharType="end"/>
            </w:r>
          </w:hyperlink>
        </w:p>
        <w:p w:rsidR="008131BE" w:rsidRDefault="008131BE">
          <w:pPr>
            <w:pStyle w:val="TOC3"/>
            <w:tabs>
              <w:tab w:val="right" w:leader="dot" w:pos="9350"/>
            </w:tabs>
            <w:rPr>
              <w:noProof/>
            </w:rPr>
          </w:pPr>
          <w:hyperlink w:anchor="_Toc10804146" w:history="1">
            <w:r w:rsidRPr="000752AF">
              <w:rPr>
                <w:rStyle w:val="Hyperlink"/>
                <w:rFonts w:cs="Times New Roman"/>
                <w:noProof/>
              </w:rPr>
              <w:t>Table 13 – 2017-18 Percent of 7 Primary City Needs Met by CCAEC Members (AEP Outcomes)</w:t>
            </w:r>
            <w:r>
              <w:rPr>
                <w:noProof/>
                <w:webHidden/>
              </w:rPr>
              <w:tab/>
            </w:r>
            <w:r>
              <w:rPr>
                <w:noProof/>
                <w:webHidden/>
              </w:rPr>
              <w:fldChar w:fldCharType="begin"/>
            </w:r>
            <w:r>
              <w:rPr>
                <w:noProof/>
                <w:webHidden/>
              </w:rPr>
              <w:instrText xml:space="preserve"> PAGEREF _Toc10804146 \h </w:instrText>
            </w:r>
            <w:r>
              <w:rPr>
                <w:noProof/>
                <w:webHidden/>
              </w:rPr>
            </w:r>
            <w:r>
              <w:rPr>
                <w:noProof/>
                <w:webHidden/>
              </w:rPr>
              <w:fldChar w:fldCharType="separate"/>
            </w:r>
            <w:r>
              <w:rPr>
                <w:noProof/>
                <w:webHidden/>
              </w:rPr>
              <w:t>19</w:t>
            </w:r>
            <w:r>
              <w:rPr>
                <w:noProof/>
                <w:webHidden/>
              </w:rPr>
              <w:fldChar w:fldCharType="end"/>
            </w:r>
          </w:hyperlink>
        </w:p>
        <w:p w:rsidR="008131BE" w:rsidRDefault="008131BE">
          <w:pPr>
            <w:pStyle w:val="TOC2"/>
            <w:tabs>
              <w:tab w:val="right" w:leader="dot" w:pos="9350"/>
            </w:tabs>
            <w:rPr>
              <w:noProof/>
            </w:rPr>
          </w:pPr>
          <w:hyperlink w:anchor="_Toc10804147" w:history="1">
            <w:r w:rsidRPr="000752AF">
              <w:rPr>
                <w:rStyle w:val="Hyperlink"/>
                <w:b/>
                <w:noProof/>
              </w:rPr>
              <w:t>Section 2.4 Identifying Goals and Strategies</w:t>
            </w:r>
            <w:r>
              <w:rPr>
                <w:noProof/>
                <w:webHidden/>
              </w:rPr>
              <w:tab/>
            </w:r>
            <w:r>
              <w:rPr>
                <w:noProof/>
                <w:webHidden/>
              </w:rPr>
              <w:fldChar w:fldCharType="begin"/>
            </w:r>
            <w:r>
              <w:rPr>
                <w:noProof/>
                <w:webHidden/>
              </w:rPr>
              <w:instrText xml:space="preserve"> PAGEREF _Toc10804147 \h </w:instrText>
            </w:r>
            <w:r>
              <w:rPr>
                <w:noProof/>
                <w:webHidden/>
              </w:rPr>
            </w:r>
            <w:r>
              <w:rPr>
                <w:noProof/>
                <w:webHidden/>
              </w:rPr>
              <w:fldChar w:fldCharType="separate"/>
            </w:r>
            <w:r>
              <w:rPr>
                <w:noProof/>
                <w:webHidden/>
              </w:rPr>
              <w:t>20</w:t>
            </w:r>
            <w:r>
              <w:rPr>
                <w:noProof/>
                <w:webHidden/>
              </w:rPr>
              <w:fldChar w:fldCharType="end"/>
            </w:r>
          </w:hyperlink>
        </w:p>
        <w:p w:rsidR="008131BE" w:rsidRDefault="008131BE">
          <w:pPr>
            <w:pStyle w:val="TOC3"/>
            <w:tabs>
              <w:tab w:val="right" w:leader="dot" w:pos="9350"/>
            </w:tabs>
            <w:rPr>
              <w:noProof/>
            </w:rPr>
          </w:pPr>
          <w:hyperlink w:anchor="_Toc10804148" w:history="1">
            <w:r w:rsidRPr="000752AF">
              <w:rPr>
                <w:rStyle w:val="Hyperlink"/>
                <w:b/>
                <w:noProof/>
              </w:rPr>
              <w:t>Figure 1. Logic Model</w:t>
            </w:r>
            <w:r>
              <w:rPr>
                <w:noProof/>
                <w:webHidden/>
              </w:rPr>
              <w:tab/>
            </w:r>
            <w:r>
              <w:rPr>
                <w:noProof/>
                <w:webHidden/>
              </w:rPr>
              <w:fldChar w:fldCharType="begin"/>
            </w:r>
            <w:r>
              <w:rPr>
                <w:noProof/>
                <w:webHidden/>
              </w:rPr>
              <w:instrText xml:space="preserve"> PAGEREF _Toc10804148 \h </w:instrText>
            </w:r>
            <w:r>
              <w:rPr>
                <w:noProof/>
                <w:webHidden/>
              </w:rPr>
            </w:r>
            <w:r>
              <w:rPr>
                <w:noProof/>
                <w:webHidden/>
              </w:rPr>
              <w:fldChar w:fldCharType="separate"/>
            </w:r>
            <w:r>
              <w:rPr>
                <w:noProof/>
                <w:webHidden/>
              </w:rPr>
              <w:t>21</w:t>
            </w:r>
            <w:r>
              <w:rPr>
                <w:noProof/>
                <w:webHidden/>
              </w:rPr>
              <w:fldChar w:fldCharType="end"/>
            </w:r>
          </w:hyperlink>
        </w:p>
        <w:p w:rsidR="008131BE" w:rsidRDefault="008131BE">
          <w:pPr>
            <w:pStyle w:val="TOC3"/>
            <w:tabs>
              <w:tab w:val="right" w:leader="dot" w:pos="9350"/>
            </w:tabs>
            <w:rPr>
              <w:noProof/>
            </w:rPr>
          </w:pPr>
          <w:hyperlink w:anchor="_Toc10804149" w:history="1">
            <w:r w:rsidRPr="000752AF">
              <w:rPr>
                <w:rStyle w:val="Hyperlink"/>
                <w:i/>
                <w:noProof/>
              </w:rPr>
              <w:t>Goal Statement #1: Increase Persistence and Performance for all CCAEC Students</w:t>
            </w:r>
            <w:r>
              <w:rPr>
                <w:noProof/>
                <w:webHidden/>
              </w:rPr>
              <w:tab/>
            </w:r>
            <w:r>
              <w:rPr>
                <w:noProof/>
                <w:webHidden/>
              </w:rPr>
              <w:fldChar w:fldCharType="begin"/>
            </w:r>
            <w:r>
              <w:rPr>
                <w:noProof/>
                <w:webHidden/>
              </w:rPr>
              <w:instrText xml:space="preserve"> PAGEREF _Toc10804149 \h </w:instrText>
            </w:r>
            <w:r>
              <w:rPr>
                <w:noProof/>
                <w:webHidden/>
              </w:rPr>
            </w:r>
            <w:r>
              <w:rPr>
                <w:noProof/>
                <w:webHidden/>
              </w:rPr>
              <w:fldChar w:fldCharType="separate"/>
            </w:r>
            <w:r>
              <w:rPr>
                <w:noProof/>
                <w:webHidden/>
              </w:rPr>
              <w:t>21</w:t>
            </w:r>
            <w:r>
              <w:rPr>
                <w:noProof/>
                <w:webHidden/>
              </w:rPr>
              <w:fldChar w:fldCharType="end"/>
            </w:r>
          </w:hyperlink>
        </w:p>
        <w:p w:rsidR="008131BE" w:rsidRDefault="008131BE">
          <w:pPr>
            <w:pStyle w:val="TOC3"/>
            <w:tabs>
              <w:tab w:val="right" w:leader="dot" w:pos="9350"/>
            </w:tabs>
            <w:rPr>
              <w:noProof/>
            </w:rPr>
          </w:pPr>
          <w:hyperlink w:anchor="_Toc10804150" w:history="1">
            <w:r w:rsidRPr="000752AF">
              <w:rPr>
                <w:rStyle w:val="Hyperlink"/>
                <w:i/>
                <w:noProof/>
              </w:rPr>
              <w:t>Goal Statement #2: Create and Implement Regional Employment Training Plan (RETP) to increase leverage funds and serve industry</w:t>
            </w:r>
            <w:r>
              <w:rPr>
                <w:noProof/>
                <w:webHidden/>
              </w:rPr>
              <w:tab/>
            </w:r>
            <w:r>
              <w:rPr>
                <w:noProof/>
                <w:webHidden/>
              </w:rPr>
              <w:fldChar w:fldCharType="begin"/>
            </w:r>
            <w:r>
              <w:rPr>
                <w:noProof/>
                <w:webHidden/>
              </w:rPr>
              <w:instrText xml:space="preserve"> PAGEREF _Toc10804150 \h </w:instrText>
            </w:r>
            <w:r>
              <w:rPr>
                <w:noProof/>
                <w:webHidden/>
              </w:rPr>
            </w:r>
            <w:r>
              <w:rPr>
                <w:noProof/>
                <w:webHidden/>
              </w:rPr>
              <w:fldChar w:fldCharType="separate"/>
            </w:r>
            <w:r>
              <w:rPr>
                <w:noProof/>
                <w:webHidden/>
              </w:rPr>
              <w:t>23</w:t>
            </w:r>
            <w:r>
              <w:rPr>
                <w:noProof/>
                <w:webHidden/>
              </w:rPr>
              <w:fldChar w:fldCharType="end"/>
            </w:r>
          </w:hyperlink>
        </w:p>
        <w:p w:rsidR="008131BE" w:rsidRDefault="008131BE">
          <w:pPr>
            <w:pStyle w:val="TOC3"/>
            <w:tabs>
              <w:tab w:val="right" w:leader="dot" w:pos="9350"/>
            </w:tabs>
            <w:rPr>
              <w:noProof/>
            </w:rPr>
          </w:pPr>
          <w:hyperlink w:anchor="_Toc10804151" w:history="1">
            <w:r w:rsidRPr="000752AF">
              <w:rPr>
                <w:rStyle w:val="Hyperlink"/>
                <w:i/>
                <w:noProof/>
              </w:rPr>
              <w:t>Goal Statement #3: Create, Implement and Fully Utilize CTE Regional Advisory Boards</w:t>
            </w:r>
            <w:r>
              <w:rPr>
                <w:noProof/>
                <w:webHidden/>
              </w:rPr>
              <w:tab/>
            </w:r>
            <w:r>
              <w:rPr>
                <w:noProof/>
                <w:webHidden/>
              </w:rPr>
              <w:fldChar w:fldCharType="begin"/>
            </w:r>
            <w:r>
              <w:rPr>
                <w:noProof/>
                <w:webHidden/>
              </w:rPr>
              <w:instrText xml:space="preserve"> PAGEREF _Toc10804151 \h </w:instrText>
            </w:r>
            <w:r>
              <w:rPr>
                <w:noProof/>
                <w:webHidden/>
              </w:rPr>
            </w:r>
            <w:r>
              <w:rPr>
                <w:noProof/>
                <w:webHidden/>
              </w:rPr>
              <w:fldChar w:fldCharType="separate"/>
            </w:r>
            <w:r>
              <w:rPr>
                <w:noProof/>
                <w:webHidden/>
              </w:rPr>
              <w:t>25</w:t>
            </w:r>
            <w:r>
              <w:rPr>
                <w:noProof/>
                <w:webHidden/>
              </w:rPr>
              <w:fldChar w:fldCharType="end"/>
            </w:r>
          </w:hyperlink>
        </w:p>
        <w:p w:rsidR="008131BE" w:rsidRDefault="008131BE">
          <w:pPr>
            <w:pStyle w:val="TOC3"/>
            <w:tabs>
              <w:tab w:val="right" w:leader="dot" w:pos="9350"/>
            </w:tabs>
            <w:rPr>
              <w:noProof/>
            </w:rPr>
          </w:pPr>
          <w:hyperlink w:anchor="_Toc10804152" w:history="1">
            <w:r w:rsidRPr="000752AF">
              <w:rPr>
                <w:rStyle w:val="Hyperlink"/>
                <w:i/>
                <w:noProof/>
              </w:rPr>
              <w:t>Goal Statement #4: Improve CCAEC Student Transition to Postsecondary Institutions</w:t>
            </w:r>
            <w:r>
              <w:rPr>
                <w:noProof/>
                <w:webHidden/>
              </w:rPr>
              <w:tab/>
            </w:r>
            <w:r>
              <w:rPr>
                <w:noProof/>
                <w:webHidden/>
              </w:rPr>
              <w:fldChar w:fldCharType="begin"/>
            </w:r>
            <w:r>
              <w:rPr>
                <w:noProof/>
                <w:webHidden/>
              </w:rPr>
              <w:instrText xml:space="preserve"> PAGEREF _Toc10804152 \h </w:instrText>
            </w:r>
            <w:r>
              <w:rPr>
                <w:noProof/>
                <w:webHidden/>
              </w:rPr>
            </w:r>
            <w:r>
              <w:rPr>
                <w:noProof/>
                <w:webHidden/>
              </w:rPr>
              <w:fldChar w:fldCharType="separate"/>
            </w:r>
            <w:r>
              <w:rPr>
                <w:noProof/>
                <w:webHidden/>
              </w:rPr>
              <w:t>26</w:t>
            </w:r>
            <w:r>
              <w:rPr>
                <w:noProof/>
                <w:webHidden/>
              </w:rPr>
              <w:fldChar w:fldCharType="end"/>
            </w:r>
          </w:hyperlink>
        </w:p>
        <w:p w:rsidR="008131BE" w:rsidRDefault="008131BE">
          <w:pPr>
            <w:pStyle w:val="TOC3"/>
            <w:tabs>
              <w:tab w:val="right" w:leader="dot" w:pos="9350"/>
            </w:tabs>
            <w:rPr>
              <w:noProof/>
            </w:rPr>
          </w:pPr>
          <w:hyperlink w:anchor="_Toc10804153" w:history="1">
            <w:r w:rsidRPr="000752AF">
              <w:rPr>
                <w:rStyle w:val="Hyperlink"/>
                <w:rFonts w:cs="Times New Roman"/>
                <w:noProof/>
              </w:rPr>
              <w:t>Table 3. Progress Indicators</w:t>
            </w:r>
            <w:r>
              <w:rPr>
                <w:noProof/>
                <w:webHidden/>
              </w:rPr>
              <w:tab/>
            </w:r>
            <w:r>
              <w:rPr>
                <w:noProof/>
                <w:webHidden/>
              </w:rPr>
              <w:fldChar w:fldCharType="begin"/>
            </w:r>
            <w:r>
              <w:rPr>
                <w:noProof/>
                <w:webHidden/>
              </w:rPr>
              <w:instrText xml:space="preserve"> PAGEREF _Toc10804153 \h </w:instrText>
            </w:r>
            <w:r>
              <w:rPr>
                <w:noProof/>
                <w:webHidden/>
              </w:rPr>
            </w:r>
            <w:r>
              <w:rPr>
                <w:noProof/>
                <w:webHidden/>
              </w:rPr>
              <w:fldChar w:fldCharType="separate"/>
            </w:r>
            <w:r>
              <w:rPr>
                <w:noProof/>
                <w:webHidden/>
              </w:rPr>
              <w:t>27</w:t>
            </w:r>
            <w:r>
              <w:rPr>
                <w:noProof/>
                <w:webHidden/>
              </w:rPr>
              <w:fldChar w:fldCharType="end"/>
            </w:r>
          </w:hyperlink>
        </w:p>
        <w:p w:rsidR="008131BE" w:rsidRDefault="008131BE">
          <w:pPr>
            <w:pStyle w:val="TOC2"/>
            <w:tabs>
              <w:tab w:val="right" w:leader="dot" w:pos="9350"/>
            </w:tabs>
            <w:rPr>
              <w:noProof/>
            </w:rPr>
          </w:pPr>
          <w:hyperlink w:anchor="_Toc10804154" w:history="1">
            <w:r w:rsidRPr="000752AF">
              <w:rPr>
                <w:rStyle w:val="Hyperlink"/>
                <w:b/>
                <w:noProof/>
              </w:rPr>
              <w:t>Section 2.5 Piloting and Implementation</w:t>
            </w:r>
            <w:r>
              <w:rPr>
                <w:noProof/>
                <w:webHidden/>
              </w:rPr>
              <w:tab/>
            </w:r>
            <w:r>
              <w:rPr>
                <w:noProof/>
                <w:webHidden/>
              </w:rPr>
              <w:fldChar w:fldCharType="begin"/>
            </w:r>
            <w:r>
              <w:rPr>
                <w:noProof/>
                <w:webHidden/>
              </w:rPr>
              <w:instrText xml:space="preserve"> PAGEREF _Toc10804154 \h </w:instrText>
            </w:r>
            <w:r>
              <w:rPr>
                <w:noProof/>
                <w:webHidden/>
              </w:rPr>
            </w:r>
            <w:r>
              <w:rPr>
                <w:noProof/>
                <w:webHidden/>
              </w:rPr>
              <w:fldChar w:fldCharType="separate"/>
            </w:r>
            <w:r>
              <w:rPr>
                <w:noProof/>
                <w:webHidden/>
              </w:rPr>
              <w:t>28</w:t>
            </w:r>
            <w:r>
              <w:rPr>
                <w:noProof/>
                <w:webHidden/>
              </w:rPr>
              <w:fldChar w:fldCharType="end"/>
            </w:r>
          </w:hyperlink>
        </w:p>
        <w:p w:rsidR="008131BE" w:rsidRDefault="008131BE">
          <w:pPr>
            <w:pStyle w:val="TOC2"/>
            <w:tabs>
              <w:tab w:val="right" w:leader="dot" w:pos="9350"/>
            </w:tabs>
            <w:rPr>
              <w:noProof/>
            </w:rPr>
          </w:pPr>
          <w:hyperlink w:anchor="_Toc10804155" w:history="1">
            <w:r w:rsidRPr="000752AF">
              <w:rPr>
                <w:rStyle w:val="Hyperlink"/>
                <w:noProof/>
              </w:rPr>
              <w:t>Piloting Advisory Boards and Measuring their Success</w:t>
            </w:r>
            <w:r>
              <w:rPr>
                <w:noProof/>
                <w:webHidden/>
              </w:rPr>
              <w:tab/>
            </w:r>
            <w:r>
              <w:rPr>
                <w:noProof/>
                <w:webHidden/>
              </w:rPr>
              <w:fldChar w:fldCharType="begin"/>
            </w:r>
            <w:r>
              <w:rPr>
                <w:noProof/>
                <w:webHidden/>
              </w:rPr>
              <w:instrText xml:space="preserve"> PAGEREF _Toc10804155 \h </w:instrText>
            </w:r>
            <w:r>
              <w:rPr>
                <w:noProof/>
                <w:webHidden/>
              </w:rPr>
            </w:r>
            <w:r>
              <w:rPr>
                <w:noProof/>
                <w:webHidden/>
              </w:rPr>
              <w:fldChar w:fldCharType="separate"/>
            </w:r>
            <w:r>
              <w:rPr>
                <w:noProof/>
                <w:webHidden/>
              </w:rPr>
              <w:t>28</w:t>
            </w:r>
            <w:r>
              <w:rPr>
                <w:noProof/>
                <w:webHidden/>
              </w:rPr>
              <w:fldChar w:fldCharType="end"/>
            </w:r>
          </w:hyperlink>
        </w:p>
        <w:p w:rsidR="008131BE" w:rsidRDefault="008131BE">
          <w:pPr>
            <w:pStyle w:val="TOC2"/>
            <w:tabs>
              <w:tab w:val="right" w:leader="dot" w:pos="9350"/>
            </w:tabs>
            <w:rPr>
              <w:noProof/>
            </w:rPr>
          </w:pPr>
          <w:hyperlink w:anchor="_Toc10804156" w:history="1">
            <w:r w:rsidRPr="000752AF">
              <w:rPr>
                <w:rStyle w:val="Hyperlink"/>
                <w:noProof/>
              </w:rPr>
              <w:t>Piloting a Transition Specialist Model and Measuring that Success</w:t>
            </w:r>
            <w:r>
              <w:rPr>
                <w:noProof/>
                <w:webHidden/>
              </w:rPr>
              <w:tab/>
            </w:r>
            <w:r>
              <w:rPr>
                <w:noProof/>
                <w:webHidden/>
              </w:rPr>
              <w:fldChar w:fldCharType="begin"/>
            </w:r>
            <w:r>
              <w:rPr>
                <w:noProof/>
                <w:webHidden/>
              </w:rPr>
              <w:instrText xml:space="preserve"> PAGEREF _Toc10804156 \h </w:instrText>
            </w:r>
            <w:r>
              <w:rPr>
                <w:noProof/>
                <w:webHidden/>
              </w:rPr>
            </w:r>
            <w:r>
              <w:rPr>
                <w:noProof/>
                <w:webHidden/>
              </w:rPr>
              <w:fldChar w:fldCharType="separate"/>
            </w:r>
            <w:r>
              <w:rPr>
                <w:noProof/>
                <w:webHidden/>
              </w:rPr>
              <w:t>28</w:t>
            </w:r>
            <w:r>
              <w:rPr>
                <w:noProof/>
                <w:webHidden/>
              </w:rPr>
              <w:fldChar w:fldCharType="end"/>
            </w:r>
          </w:hyperlink>
        </w:p>
        <w:p w:rsidR="002B0080" w:rsidRDefault="00AC4841">
          <w:pPr>
            <w:sectPr w:rsidR="002B0080" w:rsidSect="00704663">
              <w:headerReference w:type="default" r:id="rId10"/>
              <w:footerReference w:type="default" r:id="rId11"/>
              <w:headerReference w:type="first" r:id="rId12"/>
              <w:footerReference w:type="first" r:id="rId13"/>
              <w:pgSz w:w="12240" w:h="15840"/>
              <w:pgMar w:top="1800" w:right="1440" w:bottom="720" w:left="1440" w:header="720" w:footer="720" w:gutter="0"/>
              <w:pgNumType w:fmt="lowerRoman" w:start="1"/>
              <w:cols w:space="720"/>
              <w:titlePg/>
              <w:docGrid w:linePitch="360"/>
            </w:sectPr>
          </w:pPr>
          <w:r>
            <w:rPr>
              <w:b/>
              <w:bCs/>
              <w:noProof/>
            </w:rPr>
            <w:fldChar w:fldCharType="end"/>
          </w:r>
        </w:p>
      </w:sdtContent>
    </w:sdt>
    <w:p w:rsidR="00D1221A" w:rsidRPr="00BA13B7" w:rsidRDefault="00D1221A" w:rsidP="00D1221A">
      <w:pPr>
        <w:pStyle w:val="Heading1"/>
        <w:rPr>
          <w:rFonts w:asciiTheme="minorHAnsi" w:hAnsiTheme="minorHAnsi"/>
          <w:b/>
          <w:sz w:val="36"/>
        </w:rPr>
      </w:pPr>
      <w:bookmarkStart w:id="2" w:name="_Toc10804124"/>
      <w:r w:rsidRPr="00BA13B7">
        <w:rPr>
          <w:rFonts w:asciiTheme="minorHAnsi" w:hAnsiTheme="minorHAnsi"/>
          <w:b/>
          <w:sz w:val="36"/>
        </w:rPr>
        <w:lastRenderedPageBreak/>
        <w:t>Section 2: Comprehensive Regional Three-Year Plan</w:t>
      </w:r>
      <w:bookmarkEnd w:id="2"/>
    </w:p>
    <w:p w:rsidR="00D1221A" w:rsidRPr="00BA13B7" w:rsidRDefault="00D1221A" w:rsidP="00D1221A"/>
    <w:p w:rsidR="00D1221A" w:rsidRPr="00BA13B7" w:rsidRDefault="00D1221A" w:rsidP="00D1221A">
      <w:pPr>
        <w:pStyle w:val="Heading2"/>
        <w:rPr>
          <w:rFonts w:asciiTheme="minorHAnsi" w:hAnsiTheme="minorHAnsi"/>
          <w:color w:val="auto"/>
          <w:sz w:val="4"/>
          <w:szCs w:val="4"/>
        </w:rPr>
      </w:pPr>
      <w:bookmarkStart w:id="3" w:name="_Toc10804125"/>
      <w:r w:rsidRPr="00BA13B7">
        <w:rPr>
          <w:rFonts w:asciiTheme="minorHAnsi" w:hAnsiTheme="minorHAnsi"/>
          <w:b/>
          <w:color w:val="auto"/>
          <w:sz w:val="28"/>
        </w:rPr>
        <w:t>Section 2.1 Executive Summary</w:t>
      </w:r>
      <w:bookmarkEnd w:id="3"/>
      <w:r w:rsidRPr="00BA13B7">
        <w:rPr>
          <w:rFonts w:asciiTheme="minorHAnsi" w:hAnsiTheme="minorHAnsi"/>
          <w:b/>
          <w:color w:val="auto"/>
          <w:sz w:val="28"/>
        </w:rPr>
        <w:tab/>
      </w:r>
    </w:p>
    <w:p w:rsidR="00D1221A" w:rsidRPr="00BA13B7" w:rsidRDefault="00D1221A" w:rsidP="00D1221A">
      <w:r w:rsidRPr="00BA13B7">
        <w:rPr>
          <w:b/>
          <w:noProof/>
          <w:sz w:val="28"/>
        </w:rPr>
        <mc:AlternateContent>
          <mc:Choice Requires="wps">
            <w:drawing>
              <wp:anchor distT="0" distB="0" distL="114300" distR="114300" simplePos="0" relativeHeight="251659264" behindDoc="0" locked="0" layoutInCell="1" allowOverlap="1" wp14:anchorId="38E15CCA" wp14:editId="38B170A0">
                <wp:simplePos x="0" y="0"/>
                <wp:positionH relativeFrom="column">
                  <wp:posOffset>-9525</wp:posOffset>
                </wp:positionH>
                <wp:positionV relativeFrom="paragraph">
                  <wp:posOffset>23494</wp:posOffset>
                </wp:positionV>
                <wp:extent cx="60007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2F220"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5pt" to="47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" strokecolor="black [3200]" strokeweight=".5pt">
                <v:stroke joinstyle="miter"/>
              </v:line>
            </w:pict>
          </mc:Fallback>
        </mc:AlternateContent>
      </w:r>
    </w:p>
    <w:p w:rsidR="005E5AC2" w:rsidRPr="006B6592" w:rsidRDefault="00F62623" w:rsidP="006B6592">
      <w:r w:rsidRPr="006B6592">
        <w:t>Since the advent of AB104 the Citrus College Adult E</w:t>
      </w:r>
      <w:r w:rsidR="00B633CF" w:rsidRPr="006B6592">
        <w:t>ducation Consortium (CCAEC) has</w:t>
      </w:r>
      <w:r w:rsidRPr="006B6592">
        <w:t xml:space="preserve"> </w:t>
      </w:r>
      <w:r w:rsidR="00DE71D9" w:rsidRPr="006B6592">
        <w:t xml:space="preserve">heartily </w:t>
      </w:r>
      <w:r w:rsidR="00B633CF" w:rsidRPr="006B6592">
        <w:t>served adults in the region across five</w:t>
      </w:r>
      <w:r w:rsidRPr="006B6592">
        <w:t xml:space="preserve"> CAEP program areas and vigorously pursued the goals required by the legislation. Consortium enrollment increased from 2015-16 to 2017-18 as consortium members addressed</w:t>
      </w:r>
      <w:r w:rsidR="00345B31" w:rsidRPr="006B6592">
        <w:t xml:space="preserve"> regional</w:t>
      </w:r>
      <w:r w:rsidRPr="006B6592">
        <w:t xml:space="preserve"> gaps</w:t>
      </w:r>
      <w:r w:rsidR="00DE71D9" w:rsidRPr="006B6592">
        <w:t xml:space="preserve"> in a number of ways</w:t>
      </w:r>
      <w:r w:rsidRPr="006B6592">
        <w:t>. Members increased ESL, ASE, ABE, CTE, and Workforce Re-entry program offerings across the consortium. Member institutions added new daytime and nighttime</w:t>
      </w:r>
      <w:r w:rsidR="00345B31" w:rsidRPr="006B6592">
        <w:t xml:space="preserve"> ESL, ASE, ABE, and CTE</w:t>
      </w:r>
      <w:r w:rsidRPr="006B6592">
        <w:t xml:space="preserve"> course offerings, created </w:t>
      </w:r>
      <w:r w:rsidR="00DE71D9" w:rsidRPr="006B6592">
        <w:t xml:space="preserve">new </w:t>
      </w:r>
      <w:r w:rsidRPr="006B6592">
        <w:t>career centers</w:t>
      </w:r>
      <w:r w:rsidR="00DE71D9" w:rsidRPr="006B6592">
        <w:t xml:space="preserve"> and </w:t>
      </w:r>
      <w:r w:rsidR="00345B31" w:rsidRPr="006B6592">
        <w:t xml:space="preserve">HiSET testing centers, and aggressively pursued Title I funding for CTE programs. These efforts have resulted in thousands of adults improving literacy skills, earning high school diplomas or equivalencies, transitioning to postsecondary institutions, or learning skills and getting hired into </w:t>
      </w:r>
      <w:r w:rsidR="00B633CF" w:rsidRPr="006B6592">
        <w:t xml:space="preserve">jobs with </w:t>
      </w:r>
      <w:r w:rsidR="00345B31" w:rsidRPr="006B6592">
        <w:t>sustainable</w:t>
      </w:r>
      <w:r w:rsidR="00DE71D9" w:rsidRPr="006B6592">
        <w:t xml:space="preserve"> wages</w:t>
      </w:r>
      <w:r w:rsidR="00345B31" w:rsidRPr="006B6592">
        <w:t>.</w:t>
      </w:r>
      <w:r w:rsidR="00B633CF" w:rsidRPr="006B6592">
        <w:t xml:space="preserve"> Professional development efforts led to the formulation of consortium-wide Language Proficiency Objects that aligned standards for ESL levels to allow for seamless transitions across consortium ESL programs. Consortium conferences have </w:t>
      </w:r>
      <w:r w:rsidR="00DE71D9" w:rsidRPr="006B6592">
        <w:t>given</w:t>
      </w:r>
      <w:r w:rsidR="00B633CF" w:rsidRPr="006B6592">
        <w:t xml:space="preserve"> </w:t>
      </w:r>
      <w:r w:rsidR="00DE71D9" w:rsidRPr="006B6592">
        <w:t>member</w:t>
      </w:r>
      <w:r w:rsidR="00B633CF" w:rsidRPr="006B6592">
        <w:t xml:space="preserve"> </w:t>
      </w:r>
      <w:r w:rsidR="00DE71D9" w:rsidRPr="006B6592">
        <w:t xml:space="preserve">stakeholders opportunities to analyze </w:t>
      </w:r>
      <w:r w:rsidR="00B633CF" w:rsidRPr="006B6592">
        <w:t>data of the region’s residents and the consortium’s students: demographics, gaps, CAEP outcomes, persistence and performance. Consortium conferences have</w:t>
      </w:r>
      <w:r w:rsidR="00DE71D9" w:rsidRPr="006B6592">
        <w:t xml:space="preserve"> also</w:t>
      </w:r>
      <w:r w:rsidR="00EB41EF" w:rsidRPr="006B6592">
        <w:t xml:space="preserve"> focused on curriculum and instructional strategies</w:t>
      </w:r>
      <w:r w:rsidR="005E5AC2" w:rsidRPr="006B6592">
        <w:t xml:space="preserve"> to address college and career standards and the increased use of</w:t>
      </w:r>
      <w:r w:rsidR="00EB41EF" w:rsidRPr="006B6592">
        <w:t xml:space="preserve"> technology</w:t>
      </w:r>
      <w:r w:rsidR="005E5AC2" w:rsidRPr="006B6592">
        <w:t xml:space="preserve"> in</w:t>
      </w:r>
      <w:r w:rsidR="00EB41EF" w:rsidRPr="006B6592">
        <w:t xml:space="preserve"> the cla</w:t>
      </w:r>
      <w:r w:rsidR="005E5AC2" w:rsidRPr="006B6592">
        <w:t>s</w:t>
      </w:r>
      <w:r w:rsidR="00EB41EF" w:rsidRPr="006B6592">
        <w:t>sroom</w:t>
      </w:r>
      <w:r w:rsidR="002B7910" w:rsidRPr="006B6592">
        <w:t xml:space="preserve"> among many other topics</w:t>
      </w:r>
      <w:r w:rsidR="005E5AC2" w:rsidRPr="006B6592">
        <w:t>.</w:t>
      </w:r>
    </w:p>
    <w:p w:rsidR="005E5AC2" w:rsidRPr="005E5AC2" w:rsidRDefault="005E5AC2" w:rsidP="005E5AC2">
      <w:r>
        <w:t>The</w:t>
      </w:r>
      <w:r w:rsidR="007450D3">
        <w:t xml:space="preserve"> CAEP</w:t>
      </w:r>
      <w:r>
        <w:t xml:space="preserve"> program goal that CCAEC members had the most success with was in leveraging funds. Monrovia Community Adult School increased Title I funding for its CTE programs 10 fold </w:t>
      </w:r>
      <w:r w:rsidR="002B7910">
        <w:t xml:space="preserve">(from $25,000 in 2016-17 to $275,000 in 2017-18) </w:t>
      </w:r>
      <w:r>
        <w:t xml:space="preserve">and </w:t>
      </w:r>
      <w:r w:rsidR="007450D3">
        <w:t xml:space="preserve">a 79.5% </w:t>
      </w:r>
      <w:r w:rsidR="002B7910">
        <w:t xml:space="preserve">increase in </w:t>
      </w:r>
      <w:r w:rsidR="00DE71D9">
        <w:t xml:space="preserve">the number of </w:t>
      </w:r>
      <w:r w:rsidR="007450D3">
        <w:t>CTE students who qualified as CAEP Enrollees.</w:t>
      </w:r>
      <w:r w:rsidR="002B7910">
        <w:t xml:space="preserve"> </w:t>
      </w:r>
      <w:r w:rsidR="00F016F7">
        <w:t>Azusa Adult Education Center and Claremont Adult</w:t>
      </w:r>
      <w:r>
        <w:t xml:space="preserve"> School are now on Cal</w:t>
      </w:r>
      <w:r w:rsidR="002B7910">
        <w:t xml:space="preserve">Jobs ETPL and LA County I-TRAIN and are poised to leverage significant funds in the next three years. Alignment with </w:t>
      </w:r>
      <w:r w:rsidR="00DE71D9">
        <w:t xml:space="preserve">regional </w:t>
      </w:r>
      <w:r w:rsidR="002B7910">
        <w:t xml:space="preserve">Workforce Development Boards is creating meaningful symbiotic relationships: AJCCs are meeting outcomes, leveraging CAEP funds when needed, and CCAEC members are expanding CTE programs and training more students to meet the needs of regional </w:t>
      </w:r>
      <w:r w:rsidR="00DE71D9">
        <w:t>industry</w:t>
      </w:r>
      <w:r w:rsidR="002B7910">
        <w:t xml:space="preserve">. This symbiosis is allowing the consortium to better serve the region’s adults who need training and </w:t>
      </w:r>
      <w:r w:rsidR="00DE71D9">
        <w:t>the region’s businesses</w:t>
      </w:r>
      <w:r w:rsidR="006B1C33">
        <w:t xml:space="preserve"> who need</w:t>
      </w:r>
      <w:r w:rsidR="002B7910">
        <w:t xml:space="preserve"> employees. </w:t>
      </w:r>
    </w:p>
    <w:p w:rsidR="00600FBD" w:rsidRDefault="002B7910" w:rsidP="005E5AC2">
      <w:r>
        <w:t xml:space="preserve">The consortium has two simple vision statements that align with CAEP </w:t>
      </w:r>
      <w:r w:rsidR="00600FBD">
        <w:t>major outcomes:</w:t>
      </w:r>
      <w:r>
        <w:t xml:space="preserve"> </w:t>
      </w:r>
    </w:p>
    <w:p w:rsidR="005E5AC2" w:rsidRDefault="005E5AC2" w:rsidP="00FD3DD5">
      <w:pPr>
        <w:pStyle w:val="ListParagraph"/>
        <w:numPr>
          <w:ilvl w:val="0"/>
          <w:numId w:val="21"/>
        </w:numPr>
      </w:pPr>
      <w:r w:rsidRPr="005E5AC2">
        <w:t xml:space="preserve">All CCAEC K-12 adult students </w:t>
      </w:r>
      <w:r w:rsidR="00F016F7">
        <w:t xml:space="preserve">are prepared </w:t>
      </w:r>
      <w:r w:rsidR="001D5420">
        <w:t xml:space="preserve">for </w:t>
      </w:r>
      <w:r w:rsidR="00F016F7">
        <w:t xml:space="preserve">and given the opportunity to </w:t>
      </w:r>
      <w:r w:rsidRPr="005E5AC2">
        <w:t xml:space="preserve">transition to a postsecondary institution. </w:t>
      </w:r>
    </w:p>
    <w:p w:rsidR="00600FBD" w:rsidRDefault="00F016F7" w:rsidP="00FD3DD5">
      <w:pPr>
        <w:pStyle w:val="ListParagraph"/>
        <w:numPr>
          <w:ilvl w:val="0"/>
          <w:numId w:val="21"/>
        </w:numPr>
      </w:pPr>
      <w:r>
        <w:t>R</w:t>
      </w:r>
      <w:r w:rsidR="00600FBD">
        <w:t xml:space="preserve">egional employers </w:t>
      </w:r>
      <w:r w:rsidR="00DE71D9">
        <w:t>meet their employment needs with</w:t>
      </w:r>
      <w:r w:rsidR="00600FBD">
        <w:t xml:space="preserve"> well-trained CCAEC students.</w:t>
      </w:r>
    </w:p>
    <w:p w:rsidR="00F016F7" w:rsidRDefault="00F016F7">
      <w:r>
        <w:br w:type="page"/>
      </w:r>
    </w:p>
    <w:p w:rsidR="00600FBD" w:rsidRDefault="00600FBD" w:rsidP="00600FBD">
      <w:r>
        <w:lastRenderedPageBreak/>
        <w:t xml:space="preserve">In order to strive towards </w:t>
      </w:r>
      <w:r w:rsidR="00DE71D9">
        <w:t xml:space="preserve">achieving </w:t>
      </w:r>
      <w:r>
        <w:t>these vision statements, CCAEC members have four major goals that are detailed in this plan:</w:t>
      </w:r>
    </w:p>
    <w:p w:rsidR="00600FBD" w:rsidRDefault="008C12D7" w:rsidP="00FD3DD5">
      <w:pPr>
        <w:pStyle w:val="ListParagraph"/>
        <w:numPr>
          <w:ilvl w:val="0"/>
          <w:numId w:val="22"/>
        </w:numPr>
      </w:pPr>
      <w:r>
        <w:t>Increase p</w:t>
      </w:r>
      <w:r w:rsidR="00600FBD">
        <w:t xml:space="preserve">ersistence and </w:t>
      </w:r>
      <w:r>
        <w:t>p</w:t>
      </w:r>
      <w:r w:rsidR="00600FBD">
        <w:t>erformance for all CCAEC students</w:t>
      </w:r>
    </w:p>
    <w:p w:rsidR="00600FBD" w:rsidRDefault="008C12D7" w:rsidP="00FD3DD5">
      <w:pPr>
        <w:pStyle w:val="ListParagraph"/>
        <w:numPr>
          <w:ilvl w:val="0"/>
          <w:numId w:val="22"/>
        </w:numPr>
      </w:pPr>
      <w:r>
        <w:t>Create and i</w:t>
      </w:r>
      <w:r w:rsidR="00600FBD" w:rsidRPr="00600FBD">
        <w:t xml:space="preserve">mplement </w:t>
      </w:r>
      <w:r w:rsidR="00600FBD">
        <w:t xml:space="preserve">a </w:t>
      </w:r>
      <w:r w:rsidR="00600FBD" w:rsidRPr="00600FBD">
        <w:t>Re</w:t>
      </w:r>
      <w:r w:rsidR="00477D2C">
        <w:t>gional Employment</w:t>
      </w:r>
      <w:r w:rsidR="006B1C33">
        <w:t xml:space="preserve"> Training Plan (</w:t>
      </w:r>
      <w:r w:rsidR="004E305C">
        <w:t>RETP</w:t>
      </w:r>
      <w:r w:rsidR="006B1C33">
        <w:t>) to increase</w:t>
      </w:r>
      <w:r w:rsidR="00600FBD" w:rsidRPr="00600FBD">
        <w:t xml:space="preserve"> leverage</w:t>
      </w:r>
      <w:r w:rsidR="00600FBD">
        <w:t>d</w:t>
      </w:r>
      <w:r w:rsidR="00600FBD" w:rsidRPr="00600FBD">
        <w:t xml:space="preserve"> funds and serve industry</w:t>
      </w:r>
      <w:r w:rsidR="00600FBD">
        <w:t xml:space="preserve"> employment needs</w:t>
      </w:r>
    </w:p>
    <w:p w:rsidR="00600FBD" w:rsidRDefault="00600FBD" w:rsidP="00FD3DD5">
      <w:pPr>
        <w:pStyle w:val="ListParagraph"/>
        <w:numPr>
          <w:ilvl w:val="0"/>
          <w:numId w:val="22"/>
        </w:numPr>
      </w:pPr>
      <w:r>
        <w:t>Create, implement and fully u</w:t>
      </w:r>
      <w:r w:rsidRPr="00600FBD">
        <w:t>tilize CTE Regional Advisory Boards</w:t>
      </w:r>
    </w:p>
    <w:p w:rsidR="00600FBD" w:rsidRPr="00600FBD" w:rsidRDefault="00600FBD" w:rsidP="00FD3DD5">
      <w:pPr>
        <w:pStyle w:val="ListParagraph"/>
        <w:numPr>
          <w:ilvl w:val="0"/>
          <w:numId w:val="22"/>
        </w:numPr>
      </w:pPr>
      <w:r>
        <w:t>Create a Transitions Plan to dramatically improve CCAEC student transition to p</w:t>
      </w:r>
      <w:r w:rsidRPr="00600FBD">
        <w:t xml:space="preserve">ostsecondary </w:t>
      </w:r>
      <w:r>
        <w:t>i</w:t>
      </w:r>
      <w:r w:rsidRPr="00600FBD">
        <w:t>nstitutions</w:t>
      </w:r>
    </w:p>
    <w:p w:rsidR="0049081E" w:rsidRPr="005E5AC2" w:rsidRDefault="00600FBD" w:rsidP="005E5AC2">
      <w:r>
        <w:t>CCAEC members believe this</w:t>
      </w:r>
      <w:r w:rsidR="00DE71D9">
        <w:t xml:space="preserve"> Three-Year P</w:t>
      </w:r>
      <w:r>
        <w:t xml:space="preserve">lan clearly </w:t>
      </w:r>
      <w:r w:rsidR="00804435">
        <w:t xml:space="preserve">evaluates levels of services currently provided, identifies strong partners and funding sources that will help the consortium reach its goals, recognizes characteristics of the regional population and labor market, and formulates solid models to achieve actionable goals. </w:t>
      </w:r>
      <w:r w:rsidR="00D1221A" w:rsidRPr="005E5AC2">
        <w:tab/>
      </w:r>
      <w:r w:rsidR="00D1221A" w:rsidRPr="005E5AC2">
        <w:tab/>
      </w:r>
      <w:r w:rsidR="00D1221A" w:rsidRPr="005E5AC2">
        <w:tab/>
      </w:r>
      <w:r w:rsidR="00D1221A" w:rsidRPr="005E5AC2">
        <w:tab/>
      </w:r>
      <w:r w:rsidR="00D1221A" w:rsidRPr="005E5AC2">
        <w:tab/>
      </w:r>
      <w:r w:rsidR="00D1221A" w:rsidRPr="005E5AC2">
        <w:tab/>
      </w:r>
    </w:p>
    <w:p w:rsidR="004F553B" w:rsidRDefault="004F553B">
      <w:pPr>
        <w:rPr>
          <w:rFonts w:eastAsiaTheme="majorEastAsia" w:cstheme="majorBidi"/>
          <w:b/>
          <w:sz w:val="28"/>
          <w:szCs w:val="26"/>
        </w:rPr>
      </w:pPr>
      <w:r>
        <w:rPr>
          <w:b/>
          <w:sz w:val="28"/>
        </w:rPr>
        <w:br w:type="page"/>
      </w:r>
    </w:p>
    <w:p w:rsidR="003C027C" w:rsidRPr="00BA13B7" w:rsidRDefault="003C027C" w:rsidP="003C027C">
      <w:pPr>
        <w:pStyle w:val="Heading2"/>
        <w:rPr>
          <w:rFonts w:asciiTheme="minorHAnsi" w:hAnsiTheme="minorHAnsi"/>
          <w:color w:val="auto"/>
          <w:sz w:val="4"/>
          <w:szCs w:val="4"/>
        </w:rPr>
      </w:pPr>
      <w:bookmarkStart w:id="4" w:name="_Toc10804126"/>
      <w:r w:rsidRPr="00BA13B7">
        <w:rPr>
          <w:rFonts w:asciiTheme="minorHAnsi" w:hAnsiTheme="minorHAnsi"/>
          <w:b/>
          <w:color w:val="auto"/>
          <w:sz w:val="28"/>
        </w:rPr>
        <w:lastRenderedPageBreak/>
        <w:t>Section 2.2 Pre-Planning Assessment</w:t>
      </w:r>
      <w:bookmarkEnd w:id="4"/>
      <w:r w:rsidRPr="00BA13B7">
        <w:rPr>
          <w:rFonts w:asciiTheme="minorHAnsi" w:hAnsiTheme="minorHAnsi"/>
          <w:b/>
          <w:color w:val="auto"/>
          <w:sz w:val="28"/>
        </w:rPr>
        <w:tab/>
      </w:r>
    </w:p>
    <w:p w:rsidR="003C027C" w:rsidRPr="00DE71D9" w:rsidRDefault="003C027C" w:rsidP="00DE71D9">
      <w:pPr>
        <w:spacing w:after="0"/>
        <w:rPr>
          <w:sz w:val="18"/>
        </w:rPr>
      </w:pPr>
      <w:r w:rsidRPr="00BA13B7">
        <w:rPr>
          <w:b/>
          <w:noProof/>
          <w:sz w:val="28"/>
        </w:rPr>
        <mc:AlternateContent>
          <mc:Choice Requires="wps">
            <w:drawing>
              <wp:anchor distT="0" distB="0" distL="114300" distR="114300" simplePos="0" relativeHeight="251661312" behindDoc="0" locked="0" layoutInCell="1" allowOverlap="1" wp14:anchorId="65075DD2" wp14:editId="66A73008">
                <wp:simplePos x="0" y="0"/>
                <wp:positionH relativeFrom="column">
                  <wp:posOffset>-9525</wp:posOffset>
                </wp:positionH>
                <wp:positionV relativeFrom="paragraph">
                  <wp:posOffset>23494</wp:posOffset>
                </wp:positionV>
                <wp:extent cx="60007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1859E"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5pt" to="47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" strokecolor="black [3200]" strokeweight=".5pt">
                <v:stroke joinstyle="miter"/>
              </v:line>
            </w:pict>
          </mc:Fallback>
        </mc:AlternateContent>
      </w:r>
    </w:p>
    <w:p w:rsidR="003C027C" w:rsidRPr="008C191D" w:rsidRDefault="008C191D" w:rsidP="00DE71D9">
      <w:pPr>
        <w:pStyle w:val="Heading3"/>
        <w:spacing w:before="0" w:after="120"/>
        <w:rPr>
          <w:color w:val="auto"/>
        </w:rPr>
      </w:pPr>
      <w:bookmarkStart w:id="5" w:name="_Toc10804127"/>
      <w:r>
        <w:rPr>
          <w:color w:val="auto"/>
        </w:rPr>
        <w:t>Consortium Capacity and Evaluation of Current Programs</w:t>
      </w:r>
      <w:bookmarkEnd w:id="5"/>
    </w:p>
    <w:p w:rsidR="007A5FF8" w:rsidRDefault="00DD2BA7" w:rsidP="00ED2195">
      <w:r>
        <w:t>The Citrus College Adult Education Consortium serves five of the seven CAEP program areas and the vast majority of students being served are in four program areas. ABE/ASE, ESL/EL Civics, CTE, and Workforce Re-entry are the four primary programs and the consortium serves Parent Success students in Glendora.</w:t>
      </w:r>
    </w:p>
    <w:p w:rsidR="00DD2BA7" w:rsidRDefault="00DD2BA7" w:rsidP="00ED2195">
      <w:r>
        <w:t xml:space="preserve">Table 4 below demonstrates duplicated enrollment by CAEP program area for each member in the consortium over the previous two years. This table reveals a tremendous amount of data that consortium members analyzed and evaluated in creating this plan. </w:t>
      </w:r>
    </w:p>
    <w:p w:rsidR="0019485C" w:rsidRDefault="00A5543F" w:rsidP="00ED2195">
      <w:r>
        <w:t xml:space="preserve">The most striking revelation is that CCAEC enrollment is down from last year to this year. The total of unduplicated students declined consortium-wide 11.3% and total duplicated students declined 9.6%. Digging into this further, however, demonstrated some real bright spots and some areas of concern that are so extreme as to warrant discussions about a data issue. </w:t>
      </w:r>
    </w:p>
    <w:p w:rsidR="00C25487" w:rsidRDefault="00A5543F" w:rsidP="00ED2195">
      <w:r>
        <w:t xml:space="preserve">The real bright spot in the consortium is the tremendous growth in enrollment that Claremont Adult School has experienced in one year. Claremont’s total unduplicated enrollment increased by 31.6% and duplicated enrollment increased by 51.2%. </w:t>
      </w:r>
      <w:r w:rsidR="00C25487">
        <w:t>Also, CCAEC saw 25.6% growth in enrollment in its HSD programs, and a smaller 2.3% increase in its HSE programs.</w:t>
      </w:r>
    </w:p>
    <w:p w:rsidR="00A5543F" w:rsidRDefault="00A5543F" w:rsidP="00ED2195">
      <w:r>
        <w:t>On the flip side, Monrovia saw a significant decrease in unduplicated enrollment (32.1%) and in duplicated enrollment (40.0%)</w:t>
      </w:r>
      <w:r w:rsidR="0019485C">
        <w:t>, as did Glendora (15.5% and 16.1%, respectively)</w:t>
      </w:r>
      <w:r>
        <w:t>. Consortium members, especially Monrovia</w:t>
      </w:r>
      <w:r w:rsidR="0019485C">
        <w:t>, are looking into possible causes for such a decline. All districts have been experiencing declining K-12 enrollment, and the most commonly cited reason is the lack of affordable housing. Over the next 6-12 months, the consortium will make the effort to see what has caused declining enrollment in Monrovia and Glendora.</w:t>
      </w:r>
    </w:p>
    <w:p w:rsidR="00C25487" w:rsidRPr="007A5FF8" w:rsidRDefault="00C25487" w:rsidP="00ED2195">
      <w:r>
        <w:t>The 48.1% decline in CTE enrollment for the consortium, and the 73.7% decline for Monrovia in particular, was so extreme that the school is looking deeper into the data to see if there is an integrity issue. ABE saw a 21.4% decrease in enrollment. ESL and Workforce Re-entry saw very small decreases in enrollment.</w:t>
      </w:r>
    </w:p>
    <w:p w:rsidR="004F553B" w:rsidRDefault="004F553B">
      <w:pPr>
        <w:rPr>
          <w:rFonts w:asciiTheme="majorHAnsi" w:eastAsiaTheme="majorEastAsia" w:hAnsiTheme="majorHAnsi" w:cstheme="majorBidi"/>
          <w:color w:val="1F4D78" w:themeColor="accent1" w:themeShade="7F"/>
          <w:sz w:val="24"/>
          <w:szCs w:val="24"/>
        </w:rPr>
      </w:pPr>
      <w:r>
        <w:br w:type="page"/>
      </w:r>
    </w:p>
    <w:p w:rsidR="00804435" w:rsidRPr="00804435" w:rsidRDefault="006B6592" w:rsidP="00DD2BA7">
      <w:pPr>
        <w:pStyle w:val="Heading3"/>
        <w:spacing w:after="120"/>
      </w:pPr>
      <w:bookmarkStart w:id="6" w:name="_Toc10804128"/>
      <w:r>
        <w:lastRenderedPageBreak/>
        <w:t xml:space="preserve">Table 4 – </w:t>
      </w:r>
      <w:r w:rsidR="00E15555">
        <w:t>Student Enrollment by Program</w:t>
      </w:r>
      <w:r>
        <w:t xml:space="preserve"> </w:t>
      </w:r>
      <w:r w:rsidR="00DD2BA7">
        <w:t>over</w:t>
      </w:r>
      <w:r>
        <w:t xml:space="preserve"> Previous Two Years</w:t>
      </w:r>
      <w:bookmarkEnd w:id="6"/>
    </w:p>
    <w:tbl>
      <w:tblPr>
        <w:tblW w:w="9307" w:type="dxa"/>
        <w:tblLook w:val="04A0" w:firstRow="1" w:lastRow="0" w:firstColumn="1" w:lastColumn="0" w:noHBand="0" w:noVBand="1"/>
      </w:tblPr>
      <w:tblGrid>
        <w:gridCol w:w="3312"/>
        <w:gridCol w:w="2592"/>
        <w:gridCol w:w="1220"/>
        <w:gridCol w:w="1175"/>
        <w:gridCol w:w="1008"/>
      </w:tblGrid>
      <w:tr w:rsidR="007B6EF9" w:rsidRPr="00741634" w:rsidTr="007839A3">
        <w:trPr>
          <w:trHeight w:val="360"/>
          <w:tblHeader/>
        </w:trPr>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6EF9" w:rsidRPr="00741634" w:rsidRDefault="007B6EF9" w:rsidP="00741634">
            <w:pPr>
              <w:spacing w:after="0" w:line="240" w:lineRule="auto"/>
              <w:jc w:val="center"/>
              <w:rPr>
                <w:rFonts w:ascii="Calibri" w:eastAsia="Times New Roman" w:hAnsi="Calibri" w:cs="Arial"/>
                <w:b/>
                <w:bCs/>
                <w:color w:val="000000"/>
              </w:rPr>
            </w:pPr>
            <w:r w:rsidRPr="00741634">
              <w:rPr>
                <w:rFonts w:ascii="Calibri" w:eastAsia="Times New Roman" w:hAnsi="Calibri" w:cs="Arial"/>
                <w:b/>
                <w:bCs/>
                <w:color w:val="000000"/>
              </w:rPr>
              <w:t>Program Areas</w:t>
            </w:r>
          </w:p>
        </w:tc>
        <w:tc>
          <w:tcPr>
            <w:tcW w:w="25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B6EF9" w:rsidRPr="00741634" w:rsidRDefault="007B6EF9" w:rsidP="00741634">
            <w:pPr>
              <w:spacing w:after="0" w:line="240" w:lineRule="auto"/>
              <w:jc w:val="center"/>
              <w:rPr>
                <w:rFonts w:ascii="Calibri" w:eastAsia="Times New Roman" w:hAnsi="Calibri" w:cs="Arial"/>
                <w:b/>
                <w:bCs/>
                <w:color w:val="000000"/>
              </w:rPr>
            </w:pPr>
            <w:bookmarkStart w:id="7" w:name="RANGE!B1:C32"/>
            <w:r w:rsidRPr="00741634">
              <w:rPr>
                <w:rFonts w:ascii="Calibri" w:eastAsia="Times New Roman" w:hAnsi="Calibri" w:cs="Arial"/>
                <w:b/>
                <w:bCs/>
                <w:color w:val="000000"/>
              </w:rPr>
              <w:t>Agency Name</w:t>
            </w:r>
            <w:bookmarkEnd w:id="7"/>
          </w:p>
        </w:tc>
        <w:tc>
          <w:tcPr>
            <w:tcW w:w="1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B6EF9" w:rsidRPr="00741634" w:rsidRDefault="007B6EF9" w:rsidP="008D3F22">
            <w:pPr>
              <w:spacing w:after="0" w:line="240" w:lineRule="auto"/>
              <w:jc w:val="center"/>
              <w:rPr>
                <w:rFonts w:ascii="Calibri" w:eastAsia="Times New Roman" w:hAnsi="Calibri" w:cs="Arial"/>
                <w:b/>
                <w:bCs/>
                <w:color w:val="000000"/>
              </w:rPr>
            </w:pPr>
            <w:r>
              <w:rPr>
                <w:rFonts w:ascii="Calibri" w:eastAsia="Times New Roman" w:hAnsi="Calibri" w:cs="Arial"/>
                <w:b/>
                <w:bCs/>
                <w:color w:val="000000"/>
              </w:rPr>
              <w:t xml:space="preserve">2017-18 </w:t>
            </w:r>
            <w:r w:rsidRPr="00741634">
              <w:rPr>
                <w:rFonts w:ascii="Calibri" w:eastAsia="Times New Roman" w:hAnsi="Calibri" w:cs="Arial"/>
                <w:b/>
                <w:bCs/>
                <w:color w:val="000000"/>
              </w:rPr>
              <w:t>CAEP Enrollees</w:t>
            </w:r>
          </w:p>
        </w:tc>
        <w:tc>
          <w:tcPr>
            <w:tcW w:w="1175" w:type="dxa"/>
            <w:tcBorders>
              <w:top w:val="single" w:sz="4" w:space="0" w:color="auto"/>
              <w:left w:val="nil"/>
              <w:bottom w:val="single" w:sz="4" w:space="0" w:color="auto"/>
              <w:right w:val="single" w:sz="4" w:space="0" w:color="auto"/>
            </w:tcBorders>
            <w:shd w:val="clear" w:color="auto" w:fill="D9D9D9" w:themeFill="background1" w:themeFillShade="D9"/>
          </w:tcPr>
          <w:p w:rsidR="007B6EF9" w:rsidRPr="00741634" w:rsidRDefault="007B6EF9" w:rsidP="008D3F22">
            <w:pPr>
              <w:spacing w:after="0" w:line="240" w:lineRule="auto"/>
              <w:jc w:val="center"/>
              <w:rPr>
                <w:rFonts w:ascii="Calibri" w:eastAsia="Times New Roman" w:hAnsi="Calibri" w:cs="Arial"/>
                <w:b/>
                <w:bCs/>
                <w:color w:val="000000"/>
              </w:rPr>
            </w:pPr>
            <w:r>
              <w:rPr>
                <w:rFonts w:ascii="Calibri" w:eastAsia="Times New Roman" w:hAnsi="Calibri" w:cs="Arial"/>
                <w:b/>
                <w:bCs/>
                <w:color w:val="000000"/>
              </w:rPr>
              <w:t xml:space="preserve">2018-19 </w:t>
            </w:r>
            <w:r w:rsidRPr="00741634">
              <w:rPr>
                <w:rFonts w:ascii="Calibri" w:eastAsia="Times New Roman" w:hAnsi="Calibri" w:cs="Arial"/>
                <w:b/>
                <w:bCs/>
                <w:color w:val="000000"/>
              </w:rPr>
              <w:t>CAEP Enrollees</w:t>
            </w:r>
          </w:p>
        </w:tc>
        <w:tc>
          <w:tcPr>
            <w:tcW w:w="10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B6EF9" w:rsidRDefault="00E15555" w:rsidP="00E15555">
            <w:pPr>
              <w:spacing w:after="0" w:line="240" w:lineRule="auto"/>
              <w:jc w:val="center"/>
              <w:rPr>
                <w:rFonts w:ascii="Calibri" w:eastAsia="Times New Roman" w:hAnsi="Calibri" w:cs="Arial"/>
                <w:b/>
                <w:bCs/>
                <w:color w:val="000000"/>
              </w:rPr>
            </w:pPr>
            <w:r>
              <w:rPr>
                <w:rFonts w:ascii="Calibri" w:eastAsia="Times New Roman" w:hAnsi="Calibri" w:cs="Arial"/>
                <w:b/>
                <w:bCs/>
                <w:color w:val="000000"/>
              </w:rPr>
              <w:t>% Change</w:t>
            </w:r>
          </w:p>
        </w:tc>
      </w:tr>
      <w:tr w:rsidR="008C12D7" w:rsidRPr="00741634" w:rsidTr="007839A3">
        <w:trPr>
          <w:trHeight w:val="331"/>
        </w:trPr>
        <w:tc>
          <w:tcPr>
            <w:tcW w:w="3312" w:type="dxa"/>
            <w:tcBorders>
              <w:top w:val="single" w:sz="4" w:space="0" w:color="auto"/>
              <w:left w:val="single" w:sz="4" w:space="0" w:color="auto"/>
              <w:bottom w:val="single" w:sz="12" w:space="0" w:color="auto"/>
              <w:right w:val="single" w:sz="4" w:space="0" w:color="auto"/>
            </w:tcBorders>
            <w:shd w:val="clear" w:color="auto" w:fill="FFE599" w:themeFill="accent4"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Adults Training for Child School Success</w:t>
            </w:r>
          </w:p>
        </w:tc>
        <w:tc>
          <w:tcPr>
            <w:tcW w:w="2592" w:type="dxa"/>
            <w:tcBorders>
              <w:top w:val="single" w:sz="4" w:space="0" w:color="auto"/>
              <w:left w:val="nil"/>
              <w:bottom w:val="single" w:sz="12" w:space="0" w:color="auto"/>
              <w:right w:val="single" w:sz="4" w:space="0" w:color="auto"/>
            </w:tcBorders>
            <w:shd w:val="clear" w:color="auto" w:fill="FFE599" w:themeFill="accent4"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Glendora Adult School</w:t>
            </w:r>
          </w:p>
        </w:tc>
        <w:tc>
          <w:tcPr>
            <w:tcW w:w="1220" w:type="dxa"/>
            <w:tcBorders>
              <w:top w:val="single" w:sz="4" w:space="0" w:color="auto"/>
              <w:left w:val="nil"/>
              <w:bottom w:val="single" w:sz="12" w:space="0" w:color="auto"/>
              <w:right w:val="single" w:sz="4" w:space="0" w:color="auto"/>
            </w:tcBorders>
            <w:shd w:val="clear" w:color="auto" w:fill="DEEAF6" w:themeFill="accent1" w:themeFillTint="33"/>
            <w:noWrap/>
            <w:vAlign w:val="center"/>
          </w:tcPr>
          <w:p w:rsidR="008C12D7" w:rsidRPr="00741634" w:rsidRDefault="008C12D7" w:rsidP="008C12D7">
            <w:pPr>
              <w:spacing w:after="0" w:line="240" w:lineRule="auto"/>
              <w:jc w:val="right"/>
              <w:rPr>
                <w:rFonts w:ascii="Calibri" w:eastAsia="Times New Roman" w:hAnsi="Calibri" w:cs="Arial"/>
                <w:color w:val="000000"/>
              </w:rPr>
            </w:pPr>
            <w:r>
              <w:rPr>
                <w:rFonts w:ascii="Calibri" w:eastAsia="Times New Roman" w:hAnsi="Calibri" w:cs="Arial"/>
                <w:color w:val="000000"/>
              </w:rPr>
              <w:t>46</w:t>
            </w:r>
          </w:p>
        </w:tc>
        <w:tc>
          <w:tcPr>
            <w:tcW w:w="1175" w:type="dxa"/>
            <w:tcBorders>
              <w:top w:val="single" w:sz="4" w:space="0" w:color="auto"/>
              <w:left w:val="nil"/>
              <w:bottom w:val="single" w:sz="12"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ascii="Calibri" w:eastAsia="Times New Roman" w:hAnsi="Calibri" w:cs="Arial"/>
                <w:color w:val="000000"/>
                <w:sz w:val="20"/>
                <w:szCs w:val="20"/>
              </w:rPr>
            </w:pPr>
            <w:r w:rsidRPr="00946B12">
              <w:rPr>
                <w:rFonts w:ascii="Calibri" w:eastAsia="Times New Roman" w:hAnsi="Calibri" w:cs="Arial"/>
                <w:color w:val="000000"/>
                <w:sz w:val="20"/>
                <w:szCs w:val="20"/>
              </w:rPr>
              <w:t>39</w:t>
            </w:r>
          </w:p>
        </w:tc>
        <w:tc>
          <w:tcPr>
            <w:tcW w:w="1008" w:type="dxa"/>
            <w:tcBorders>
              <w:top w:val="single" w:sz="4" w:space="0" w:color="auto"/>
              <w:left w:val="nil"/>
              <w:bottom w:val="single" w:sz="12"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-15.2%</w:t>
            </w:r>
          </w:p>
        </w:tc>
      </w:tr>
      <w:tr w:rsidR="008C12D7" w:rsidRPr="00741634" w:rsidTr="007839A3">
        <w:trPr>
          <w:trHeight w:val="331"/>
        </w:trPr>
        <w:tc>
          <w:tcPr>
            <w:tcW w:w="331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 </w:t>
            </w:r>
          </w:p>
        </w:tc>
        <w:tc>
          <w:tcPr>
            <w:tcW w:w="2592" w:type="dxa"/>
            <w:tcBorders>
              <w:top w:val="single" w:sz="12" w:space="0" w:color="auto"/>
              <w:left w:val="nil"/>
              <w:bottom w:val="single" w:sz="4" w:space="0" w:color="auto"/>
              <w:right w:val="single" w:sz="4" w:space="0" w:color="auto"/>
            </w:tcBorders>
            <w:shd w:val="clear" w:color="auto" w:fill="auto"/>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 </w:t>
            </w:r>
          </w:p>
        </w:tc>
        <w:tc>
          <w:tcPr>
            <w:tcW w:w="1220" w:type="dxa"/>
            <w:tcBorders>
              <w:top w:val="single" w:sz="12" w:space="0" w:color="auto"/>
              <w:left w:val="nil"/>
              <w:bottom w:val="single" w:sz="4" w:space="0" w:color="auto"/>
              <w:right w:val="single" w:sz="4" w:space="0" w:color="auto"/>
            </w:tcBorders>
            <w:shd w:val="clear" w:color="auto" w:fill="DEEAF6" w:themeFill="accent1" w:themeFillTint="33"/>
            <w:noWrap/>
            <w:vAlign w:val="center"/>
          </w:tcPr>
          <w:p w:rsidR="008C12D7" w:rsidRPr="00741634" w:rsidRDefault="008C12D7" w:rsidP="008C12D7">
            <w:pPr>
              <w:spacing w:after="0" w:line="240" w:lineRule="auto"/>
              <w:jc w:val="right"/>
              <w:rPr>
                <w:rFonts w:ascii="Calibri" w:eastAsia="Times New Roman" w:hAnsi="Calibri" w:cs="Arial"/>
                <w:color w:val="000000"/>
              </w:rPr>
            </w:pPr>
          </w:p>
        </w:tc>
        <w:tc>
          <w:tcPr>
            <w:tcW w:w="1175" w:type="dxa"/>
            <w:tcBorders>
              <w:top w:val="single" w:sz="12"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ascii="Calibri" w:eastAsia="Times New Roman" w:hAnsi="Calibri" w:cs="Arial"/>
                <w:color w:val="000000"/>
                <w:sz w:val="20"/>
                <w:szCs w:val="20"/>
              </w:rPr>
            </w:pPr>
            <w:r w:rsidRPr="00946B12">
              <w:rPr>
                <w:rFonts w:ascii="Calibri" w:eastAsia="Times New Roman" w:hAnsi="Calibri" w:cs="Arial"/>
                <w:color w:val="000000"/>
                <w:sz w:val="20"/>
                <w:szCs w:val="20"/>
              </w:rPr>
              <w:t> </w:t>
            </w:r>
          </w:p>
        </w:tc>
        <w:tc>
          <w:tcPr>
            <w:tcW w:w="1008" w:type="dxa"/>
            <w:tcBorders>
              <w:top w:val="single" w:sz="12"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Basic Skills (ABE)</w:t>
            </w:r>
          </w:p>
        </w:tc>
        <w:tc>
          <w:tcPr>
            <w:tcW w:w="2592" w:type="dxa"/>
            <w:tcBorders>
              <w:top w:val="single" w:sz="4" w:space="0" w:color="auto"/>
              <w:left w:val="nil"/>
              <w:bottom w:val="single" w:sz="4" w:space="0" w:color="auto"/>
              <w:right w:val="single" w:sz="4" w:space="0" w:color="auto"/>
            </w:tcBorders>
            <w:shd w:val="clear" w:color="auto" w:fill="FFCCFF"/>
            <w:noWrap/>
            <w:vAlign w:val="center"/>
            <w:hideMark/>
          </w:tcPr>
          <w:p w:rsidR="008C12D7" w:rsidRPr="00741634" w:rsidRDefault="00F016F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Azusa Adult Education Center</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96</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ascii="Calibri" w:eastAsia="Times New Roman" w:hAnsi="Calibri" w:cs="Arial"/>
                <w:color w:val="000000"/>
                <w:sz w:val="20"/>
                <w:szCs w:val="20"/>
              </w:rPr>
            </w:pPr>
            <w:r w:rsidRPr="00946B12">
              <w:rPr>
                <w:rFonts w:ascii="Calibri" w:eastAsia="Times New Roman" w:hAnsi="Calibri" w:cs="Arial"/>
                <w:color w:val="000000"/>
                <w:sz w:val="20"/>
                <w:szCs w:val="20"/>
              </w:rPr>
              <w:t>88</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-8.3%</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Basic Skills (ABE)</w:t>
            </w:r>
          </w:p>
        </w:tc>
        <w:tc>
          <w:tcPr>
            <w:tcW w:w="2592"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Claremont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20</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ascii="Calibri" w:eastAsia="Times New Roman" w:hAnsi="Calibri" w:cs="Arial"/>
                <w:color w:val="000000"/>
                <w:sz w:val="20"/>
                <w:szCs w:val="20"/>
              </w:rPr>
            </w:pPr>
            <w:r w:rsidRPr="00946B12">
              <w:rPr>
                <w:rFonts w:ascii="Calibri" w:eastAsia="Times New Roman" w:hAnsi="Calibri" w:cs="Arial"/>
                <w:color w:val="000000"/>
                <w:sz w:val="20"/>
                <w:szCs w:val="20"/>
              </w:rPr>
              <w:t>79</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sidRPr="008C12D7">
              <w:rPr>
                <w:rFonts w:cs="Arial"/>
                <w:color w:val="000000"/>
                <w:sz w:val="20"/>
                <w:szCs w:val="20"/>
              </w:rPr>
              <w:t>295.0%</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Basic Skills (ABE)</w:t>
            </w:r>
          </w:p>
        </w:tc>
        <w:tc>
          <w:tcPr>
            <w:tcW w:w="2592" w:type="dxa"/>
            <w:tcBorders>
              <w:top w:val="single" w:sz="4" w:space="0" w:color="auto"/>
              <w:left w:val="nil"/>
              <w:bottom w:val="single" w:sz="4" w:space="0" w:color="auto"/>
              <w:right w:val="single" w:sz="4" w:space="0" w:color="auto"/>
            </w:tcBorders>
            <w:shd w:val="clear" w:color="auto" w:fill="CCFFCC"/>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Monrovia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229</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ascii="Calibri" w:eastAsia="Times New Roman" w:hAnsi="Calibri" w:cs="Arial"/>
                <w:color w:val="000000"/>
                <w:sz w:val="20"/>
                <w:szCs w:val="20"/>
              </w:rPr>
            </w:pPr>
            <w:r w:rsidRPr="00946B12">
              <w:rPr>
                <w:rFonts w:ascii="Calibri" w:eastAsia="Times New Roman" w:hAnsi="Calibri" w:cs="Arial"/>
                <w:color w:val="000000"/>
                <w:sz w:val="20"/>
                <w:szCs w:val="20"/>
              </w:rPr>
              <w:t>104</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-54.6%</w:t>
            </w:r>
          </w:p>
        </w:tc>
      </w:tr>
      <w:tr w:rsidR="008C12D7" w:rsidRPr="00741634" w:rsidTr="007839A3">
        <w:trPr>
          <w:trHeight w:val="331"/>
        </w:trPr>
        <w:tc>
          <w:tcPr>
            <w:tcW w:w="3312" w:type="dxa"/>
            <w:tcBorders>
              <w:top w:val="nil"/>
              <w:left w:val="single" w:sz="4" w:space="0" w:color="auto"/>
              <w:bottom w:val="single" w:sz="12" w:space="0" w:color="auto"/>
              <w:right w:val="single" w:sz="4" w:space="0" w:color="auto"/>
            </w:tcBorders>
            <w:shd w:val="clear" w:color="auto" w:fill="auto"/>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 </w:t>
            </w:r>
          </w:p>
        </w:tc>
        <w:tc>
          <w:tcPr>
            <w:tcW w:w="2592" w:type="dxa"/>
            <w:tcBorders>
              <w:top w:val="nil"/>
              <w:left w:val="nil"/>
              <w:bottom w:val="single" w:sz="12" w:space="0" w:color="auto"/>
              <w:right w:val="single" w:sz="4" w:space="0" w:color="auto"/>
            </w:tcBorders>
            <w:shd w:val="clear" w:color="auto" w:fill="auto"/>
            <w:noWrap/>
            <w:vAlign w:val="center"/>
            <w:hideMark/>
          </w:tcPr>
          <w:p w:rsidR="008C12D7" w:rsidRPr="005D0BD6" w:rsidRDefault="008C12D7" w:rsidP="008C12D7">
            <w:pPr>
              <w:spacing w:after="0" w:line="240" w:lineRule="auto"/>
              <w:jc w:val="right"/>
              <w:rPr>
                <w:rFonts w:ascii="Calibri" w:eastAsia="Times New Roman" w:hAnsi="Calibri" w:cs="Arial"/>
                <w:b/>
                <w:color w:val="000000"/>
                <w:sz w:val="20"/>
                <w:szCs w:val="20"/>
              </w:rPr>
            </w:pPr>
            <w:r w:rsidRPr="005D0BD6">
              <w:rPr>
                <w:rFonts w:ascii="Calibri" w:eastAsia="Times New Roman" w:hAnsi="Calibri" w:cs="Arial"/>
                <w:b/>
                <w:color w:val="000000"/>
                <w:sz w:val="20"/>
                <w:szCs w:val="20"/>
              </w:rPr>
              <w:t>Total</w:t>
            </w:r>
          </w:p>
        </w:tc>
        <w:tc>
          <w:tcPr>
            <w:tcW w:w="1220" w:type="dxa"/>
            <w:tcBorders>
              <w:top w:val="single" w:sz="4" w:space="0" w:color="auto"/>
              <w:left w:val="single" w:sz="4" w:space="0" w:color="auto"/>
              <w:bottom w:val="single" w:sz="12" w:space="0" w:color="auto"/>
              <w:right w:val="single" w:sz="4" w:space="0" w:color="auto"/>
            </w:tcBorders>
            <w:shd w:val="clear" w:color="auto" w:fill="DEEAF6" w:themeFill="accent1" w:themeFillTint="33"/>
            <w:noWrap/>
            <w:vAlign w:val="center"/>
          </w:tcPr>
          <w:p w:rsidR="008C12D7" w:rsidRPr="005D0BD6" w:rsidRDefault="008C12D7" w:rsidP="008C12D7">
            <w:pPr>
              <w:spacing w:after="0"/>
              <w:jc w:val="right"/>
              <w:rPr>
                <w:rFonts w:ascii="Calibri" w:hAnsi="Calibri" w:cs="Arial"/>
                <w:b/>
                <w:color w:val="000000"/>
                <w:sz w:val="20"/>
                <w:szCs w:val="20"/>
              </w:rPr>
            </w:pPr>
            <w:r w:rsidRPr="005D0BD6">
              <w:rPr>
                <w:rFonts w:ascii="Calibri" w:hAnsi="Calibri" w:cs="Arial"/>
                <w:b/>
                <w:color w:val="000000"/>
                <w:sz w:val="20"/>
                <w:szCs w:val="20"/>
              </w:rPr>
              <w:t>345</w:t>
            </w:r>
          </w:p>
        </w:tc>
        <w:tc>
          <w:tcPr>
            <w:tcW w:w="1175" w:type="dxa"/>
            <w:tcBorders>
              <w:top w:val="single" w:sz="4" w:space="0" w:color="auto"/>
              <w:left w:val="nil"/>
              <w:bottom w:val="single" w:sz="12" w:space="0" w:color="auto"/>
              <w:right w:val="single" w:sz="4" w:space="0" w:color="auto"/>
            </w:tcBorders>
            <w:shd w:val="clear" w:color="auto" w:fill="66FF33"/>
            <w:vAlign w:val="center"/>
          </w:tcPr>
          <w:p w:rsidR="008C12D7" w:rsidRPr="005D0BD6" w:rsidRDefault="008C12D7" w:rsidP="008C12D7">
            <w:pPr>
              <w:spacing w:after="0" w:line="240" w:lineRule="auto"/>
              <w:jc w:val="right"/>
              <w:rPr>
                <w:rFonts w:ascii="Calibri" w:eastAsia="Times New Roman" w:hAnsi="Calibri" w:cs="Arial"/>
                <w:b/>
                <w:color w:val="000000"/>
                <w:sz w:val="20"/>
                <w:szCs w:val="20"/>
              </w:rPr>
            </w:pPr>
            <w:r w:rsidRPr="005D0BD6">
              <w:rPr>
                <w:rFonts w:ascii="Calibri" w:eastAsia="Times New Roman" w:hAnsi="Calibri" w:cs="Arial"/>
                <w:b/>
                <w:color w:val="000000"/>
                <w:sz w:val="20"/>
                <w:szCs w:val="20"/>
              </w:rPr>
              <w:t>271</w:t>
            </w:r>
          </w:p>
        </w:tc>
        <w:tc>
          <w:tcPr>
            <w:tcW w:w="1008" w:type="dxa"/>
            <w:tcBorders>
              <w:top w:val="single" w:sz="6" w:space="0" w:color="auto"/>
              <w:left w:val="nil"/>
              <w:bottom w:val="single" w:sz="12" w:space="0" w:color="auto"/>
              <w:right w:val="single" w:sz="4" w:space="0" w:color="auto"/>
            </w:tcBorders>
            <w:shd w:val="clear" w:color="auto" w:fill="auto"/>
            <w:vAlign w:val="center"/>
          </w:tcPr>
          <w:p w:rsidR="008C12D7" w:rsidRPr="005D0BD6" w:rsidRDefault="008C12D7" w:rsidP="008C12D7">
            <w:pPr>
              <w:spacing w:after="0"/>
              <w:jc w:val="right"/>
              <w:rPr>
                <w:rFonts w:cs="Arial"/>
                <w:b/>
                <w:color w:val="FF0000"/>
                <w:sz w:val="20"/>
                <w:szCs w:val="20"/>
              </w:rPr>
            </w:pPr>
            <w:r w:rsidRPr="005D0BD6">
              <w:rPr>
                <w:rFonts w:cs="Arial"/>
                <w:b/>
                <w:color w:val="FF0000"/>
                <w:sz w:val="20"/>
                <w:szCs w:val="20"/>
              </w:rPr>
              <w:t>-21.4%</w:t>
            </w:r>
          </w:p>
        </w:tc>
      </w:tr>
      <w:tr w:rsidR="008C12D7" w:rsidRPr="00741634" w:rsidTr="007839A3">
        <w:trPr>
          <w:trHeight w:val="331"/>
        </w:trPr>
        <w:tc>
          <w:tcPr>
            <w:tcW w:w="3312" w:type="dxa"/>
            <w:tcBorders>
              <w:top w:val="single" w:sz="12" w:space="0" w:color="auto"/>
              <w:left w:val="single" w:sz="4" w:space="0" w:color="auto"/>
              <w:bottom w:val="single" w:sz="4" w:space="0" w:color="auto"/>
              <w:right w:val="single" w:sz="4" w:space="0" w:color="auto"/>
            </w:tcBorders>
            <w:shd w:val="clear" w:color="auto" w:fill="FFCCFF"/>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Career and Technical Education (CTE)</w:t>
            </w:r>
          </w:p>
        </w:tc>
        <w:tc>
          <w:tcPr>
            <w:tcW w:w="2592" w:type="dxa"/>
            <w:tcBorders>
              <w:top w:val="single" w:sz="12" w:space="0" w:color="auto"/>
              <w:left w:val="nil"/>
              <w:bottom w:val="single" w:sz="4" w:space="0" w:color="auto"/>
              <w:right w:val="single" w:sz="4" w:space="0" w:color="auto"/>
            </w:tcBorders>
            <w:shd w:val="clear" w:color="auto" w:fill="FFCCFF"/>
            <w:noWrap/>
            <w:vAlign w:val="center"/>
            <w:hideMark/>
          </w:tcPr>
          <w:p w:rsidR="008C12D7" w:rsidRPr="00741634" w:rsidRDefault="00F016F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Azusa Adult Education Center</w:t>
            </w:r>
          </w:p>
        </w:tc>
        <w:tc>
          <w:tcPr>
            <w:tcW w:w="1220" w:type="dxa"/>
            <w:tcBorders>
              <w:top w:val="single" w:sz="12"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317</w:t>
            </w:r>
          </w:p>
        </w:tc>
        <w:tc>
          <w:tcPr>
            <w:tcW w:w="1175" w:type="dxa"/>
            <w:tcBorders>
              <w:top w:val="single" w:sz="12"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ascii="Calibri" w:eastAsia="Times New Roman" w:hAnsi="Calibri" w:cs="Arial"/>
                <w:color w:val="000000"/>
                <w:sz w:val="20"/>
                <w:szCs w:val="20"/>
              </w:rPr>
            </w:pPr>
            <w:r w:rsidRPr="00946B12">
              <w:rPr>
                <w:rFonts w:ascii="Calibri" w:eastAsia="Times New Roman" w:hAnsi="Calibri" w:cs="Arial"/>
                <w:color w:val="000000"/>
                <w:sz w:val="20"/>
                <w:szCs w:val="20"/>
              </w:rPr>
              <w:t>284</w:t>
            </w:r>
          </w:p>
        </w:tc>
        <w:tc>
          <w:tcPr>
            <w:tcW w:w="1008" w:type="dxa"/>
            <w:tcBorders>
              <w:top w:val="single" w:sz="12"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-10.4%</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Career and Technical Education (CTE)</w:t>
            </w:r>
          </w:p>
        </w:tc>
        <w:tc>
          <w:tcPr>
            <w:tcW w:w="2592"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Claremont Adult School</w:t>
            </w:r>
          </w:p>
        </w:tc>
        <w:tc>
          <w:tcPr>
            <w:tcW w:w="12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0</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ascii="Calibri" w:eastAsia="Times New Roman" w:hAnsi="Calibri" w:cs="Arial"/>
                <w:color w:val="000000"/>
                <w:sz w:val="20"/>
                <w:szCs w:val="20"/>
              </w:rPr>
            </w:pPr>
            <w:r w:rsidRPr="00946B12">
              <w:rPr>
                <w:rFonts w:ascii="Calibri" w:eastAsia="Times New Roman" w:hAnsi="Calibri" w:cs="Arial"/>
                <w:color w:val="000000"/>
                <w:sz w:val="20"/>
                <w:szCs w:val="20"/>
              </w:rPr>
              <w:t>6</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sz w:val="20"/>
                <w:szCs w:val="20"/>
              </w:rPr>
              <w:t>n/a</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Career and Technical Education (CTE)</w:t>
            </w:r>
          </w:p>
        </w:tc>
        <w:tc>
          <w:tcPr>
            <w:tcW w:w="2592" w:type="dxa"/>
            <w:tcBorders>
              <w:top w:val="single" w:sz="4" w:space="0" w:color="auto"/>
              <w:left w:val="nil"/>
              <w:bottom w:val="single" w:sz="4" w:space="0" w:color="auto"/>
              <w:right w:val="single" w:sz="4" w:space="0" w:color="auto"/>
            </w:tcBorders>
            <w:shd w:val="clear" w:color="auto" w:fill="CCFFCC"/>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Monrovia Adult School</w:t>
            </w:r>
          </w:p>
        </w:tc>
        <w:tc>
          <w:tcPr>
            <w:tcW w:w="12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490</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ascii="Calibri" w:eastAsia="Times New Roman" w:hAnsi="Calibri" w:cs="Arial"/>
                <w:color w:val="000000"/>
                <w:sz w:val="20"/>
                <w:szCs w:val="20"/>
              </w:rPr>
            </w:pPr>
            <w:r w:rsidRPr="00946B12">
              <w:rPr>
                <w:rFonts w:ascii="Calibri" w:eastAsia="Times New Roman" w:hAnsi="Calibri" w:cs="Arial"/>
                <w:color w:val="000000"/>
                <w:sz w:val="20"/>
                <w:szCs w:val="20"/>
              </w:rPr>
              <w:t>129</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-73.7%</w:t>
            </w:r>
          </w:p>
        </w:tc>
      </w:tr>
      <w:tr w:rsidR="008C12D7" w:rsidRPr="00741634" w:rsidTr="007839A3">
        <w:trPr>
          <w:trHeight w:val="331"/>
        </w:trPr>
        <w:tc>
          <w:tcPr>
            <w:tcW w:w="3312" w:type="dxa"/>
            <w:tcBorders>
              <w:top w:val="nil"/>
              <w:left w:val="single" w:sz="4" w:space="0" w:color="auto"/>
              <w:bottom w:val="single" w:sz="12" w:space="0" w:color="auto"/>
              <w:right w:val="single" w:sz="4" w:space="0" w:color="auto"/>
            </w:tcBorders>
            <w:shd w:val="clear" w:color="auto" w:fill="auto"/>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 </w:t>
            </w:r>
          </w:p>
        </w:tc>
        <w:tc>
          <w:tcPr>
            <w:tcW w:w="2592" w:type="dxa"/>
            <w:tcBorders>
              <w:top w:val="nil"/>
              <w:left w:val="nil"/>
              <w:bottom w:val="single" w:sz="12" w:space="0" w:color="auto"/>
              <w:right w:val="single" w:sz="4" w:space="0" w:color="auto"/>
            </w:tcBorders>
            <w:shd w:val="clear" w:color="auto" w:fill="auto"/>
            <w:noWrap/>
            <w:vAlign w:val="center"/>
            <w:hideMark/>
          </w:tcPr>
          <w:p w:rsidR="008C12D7" w:rsidRPr="005D0BD6" w:rsidRDefault="008C12D7" w:rsidP="008C12D7">
            <w:pPr>
              <w:spacing w:after="0" w:line="240" w:lineRule="auto"/>
              <w:jc w:val="right"/>
              <w:rPr>
                <w:rFonts w:ascii="Calibri" w:eastAsia="Times New Roman" w:hAnsi="Calibri" w:cs="Arial"/>
                <w:b/>
                <w:color w:val="000000"/>
                <w:sz w:val="20"/>
                <w:szCs w:val="20"/>
              </w:rPr>
            </w:pPr>
            <w:r w:rsidRPr="005D0BD6">
              <w:rPr>
                <w:rFonts w:ascii="Calibri" w:eastAsia="Times New Roman" w:hAnsi="Calibri" w:cs="Arial"/>
                <w:b/>
                <w:color w:val="000000"/>
                <w:sz w:val="20"/>
                <w:szCs w:val="20"/>
              </w:rPr>
              <w:t xml:space="preserve">Total </w:t>
            </w:r>
          </w:p>
        </w:tc>
        <w:tc>
          <w:tcPr>
            <w:tcW w:w="1220" w:type="dxa"/>
            <w:tcBorders>
              <w:top w:val="single" w:sz="4" w:space="0" w:color="auto"/>
              <w:left w:val="nil"/>
              <w:bottom w:val="single" w:sz="12" w:space="0" w:color="auto"/>
              <w:right w:val="single" w:sz="4" w:space="0" w:color="auto"/>
            </w:tcBorders>
            <w:shd w:val="clear" w:color="auto" w:fill="DEEAF6" w:themeFill="accent1" w:themeFillTint="33"/>
            <w:noWrap/>
            <w:vAlign w:val="center"/>
          </w:tcPr>
          <w:p w:rsidR="008C12D7" w:rsidRPr="005D0BD6" w:rsidRDefault="008C12D7" w:rsidP="008C12D7">
            <w:pPr>
              <w:spacing w:after="0" w:line="240" w:lineRule="auto"/>
              <w:jc w:val="right"/>
              <w:rPr>
                <w:rFonts w:ascii="Calibri" w:eastAsia="Times New Roman" w:hAnsi="Calibri" w:cs="Arial"/>
                <w:b/>
                <w:color w:val="000000"/>
              </w:rPr>
            </w:pPr>
            <w:r w:rsidRPr="005D0BD6">
              <w:rPr>
                <w:rFonts w:ascii="Calibri" w:hAnsi="Calibri" w:cs="Arial"/>
                <w:b/>
                <w:color w:val="000000"/>
                <w:sz w:val="20"/>
                <w:szCs w:val="20"/>
              </w:rPr>
              <w:t>807</w:t>
            </w:r>
          </w:p>
        </w:tc>
        <w:tc>
          <w:tcPr>
            <w:tcW w:w="1175" w:type="dxa"/>
            <w:tcBorders>
              <w:top w:val="single" w:sz="4" w:space="0" w:color="auto"/>
              <w:left w:val="nil"/>
              <w:bottom w:val="single" w:sz="12" w:space="0" w:color="auto"/>
              <w:right w:val="single" w:sz="4" w:space="0" w:color="auto"/>
            </w:tcBorders>
            <w:shd w:val="clear" w:color="auto" w:fill="66FF33"/>
            <w:vAlign w:val="center"/>
          </w:tcPr>
          <w:p w:rsidR="008C12D7" w:rsidRPr="005D0BD6" w:rsidRDefault="008C12D7" w:rsidP="008C12D7">
            <w:pPr>
              <w:spacing w:after="0" w:line="240" w:lineRule="auto"/>
              <w:jc w:val="right"/>
              <w:rPr>
                <w:rFonts w:ascii="Calibri" w:eastAsia="Times New Roman" w:hAnsi="Calibri" w:cs="Arial"/>
                <w:b/>
                <w:color w:val="000000"/>
                <w:sz w:val="20"/>
                <w:szCs w:val="20"/>
              </w:rPr>
            </w:pPr>
            <w:r w:rsidRPr="005D0BD6">
              <w:rPr>
                <w:rFonts w:ascii="Calibri" w:eastAsia="Times New Roman" w:hAnsi="Calibri" w:cs="Arial"/>
                <w:b/>
                <w:color w:val="000000"/>
                <w:sz w:val="20"/>
                <w:szCs w:val="20"/>
              </w:rPr>
              <w:t>419</w:t>
            </w:r>
          </w:p>
        </w:tc>
        <w:tc>
          <w:tcPr>
            <w:tcW w:w="1008" w:type="dxa"/>
            <w:tcBorders>
              <w:top w:val="single" w:sz="6" w:space="0" w:color="auto"/>
              <w:left w:val="nil"/>
              <w:bottom w:val="single" w:sz="12" w:space="0" w:color="auto"/>
              <w:right w:val="single" w:sz="4" w:space="0" w:color="auto"/>
            </w:tcBorders>
            <w:shd w:val="clear" w:color="auto" w:fill="auto"/>
            <w:vAlign w:val="center"/>
          </w:tcPr>
          <w:p w:rsidR="008C12D7" w:rsidRPr="005D0BD6" w:rsidRDefault="008C12D7" w:rsidP="008C12D7">
            <w:pPr>
              <w:spacing w:after="0"/>
              <w:jc w:val="right"/>
              <w:rPr>
                <w:rFonts w:cs="Arial"/>
                <w:b/>
                <w:color w:val="FF0000"/>
                <w:sz w:val="20"/>
                <w:szCs w:val="20"/>
              </w:rPr>
            </w:pPr>
            <w:r w:rsidRPr="005D0BD6">
              <w:rPr>
                <w:rFonts w:cs="Arial"/>
                <w:b/>
                <w:color w:val="FF0000"/>
                <w:sz w:val="20"/>
                <w:szCs w:val="20"/>
              </w:rPr>
              <w:t>-48.1%</w:t>
            </w:r>
          </w:p>
        </w:tc>
      </w:tr>
      <w:tr w:rsidR="008C12D7" w:rsidRPr="00741634" w:rsidTr="007839A3">
        <w:trPr>
          <w:trHeight w:val="331"/>
        </w:trPr>
        <w:tc>
          <w:tcPr>
            <w:tcW w:w="3312" w:type="dxa"/>
            <w:tcBorders>
              <w:top w:val="single" w:sz="12" w:space="0" w:color="auto"/>
              <w:left w:val="single" w:sz="4" w:space="0" w:color="auto"/>
              <w:bottom w:val="single" w:sz="4" w:space="0" w:color="auto"/>
              <w:right w:val="single" w:sz="4" w:space="0" w:color="auto"/>
            </w:tcBorders>
            <w:shd w:val="clear" w:color="auto" w:fill="FFCCFF"/>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English Language Learner (ESL/ELL)</w:t>
            </w:r>
          </w:p>
        </w:tc>
        <w:tc>
          <w:tcPr>
            <w:tcW w:w="2592" w:type="dxa"/>
            <w:tcBorders>
              <w:top w:val="single" w:sz="12" w:space="0" w:color="auto"/>
              <w:left w:val="nil"/>
              <w:bottom w:val="single" w:sz="4" w:space="0" w:color="auto"/>
              <w:right w:val="single" w:sz="4" w:space="0" w:color="auto"/>
            </w:tcBorders>
            <w:shd w:val="clear" w:color="auto" w:fill="FFCCFF"/>
            <w:noWrap/>
            <w:vAlign w:val="center"/>
            <w:hideMark/>
          </w:tcPr>
          <w:p w:rsidR="008C12D7" w:rsidRPr="00741634" w:rsidRDefault="00F016F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Azusa Adult Education Center</w:t>
            </w:r>
          </w:p>
        </w:tc>
        <w:tc>
          <w:tcPr>
            <w:tcW w:w="1220" w:type="dxa"/>
            <w:tcBorders>
              <w:top w:val="single" w:sz="12"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499</w:t>
            </w:r>
          </w:p>
        </w:tc>
        <w:tc>
          <w:tcPr>
            <w:tcW w:w="1175" w:type="dxa"/>
            <w:tcBorders>
              <w:top w:val="single" w:sz="12"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ascii="Calibri" w:eastAsia="Times New Roman" w:hAnsi="Calibri" w:cs="Arial"/>
                <w:color w:val="000000"/>
                <w:sz w:val="20"/>
                <w:szCs w:val="20"/>
              </w:rPr>
            </w:pPr>
            <w:r w:rsidRPr="00946B12">
              <w:rPr>
                <w:rFonts w:ascii="Calibri" w:eastAsia="Times New Roman" w:hAnsi="Calibri" w:cs="Arial"/>
                <w:color w:val="000000"/>
                <w:sz w:val="20"/>
                <w:szCs w:val="20"/>
              </w:rPr>
              <w:t>492</w:t>
            </w:r>
          </w:p>
        </w:tc>
        <w:tc>
          <w:tcPr>
            <w:tcW w:w="1008" w:type="dxa"/>
            <w:tcBorders>
              <w:top w:val="single" w:sz="12"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-1.4%</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English Language Learner (ESL/ELL)</w:t>
            </w:r>
          </w:p>
        </w:tc>
        <w:tc>
          <w:tcPr>
            <w:tcW w:w="2592"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Claremont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408</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ascii="Calibri" w:eastAsia="Times New Roman" w:hAnsi="Calibri" w:cs="Arial"/>
                <w:color w:val="000000"/>
                <w:sz w:val="20"/>
                <w:szCs w:val="20"/>
              </w:rPr>
            </w:pPr>
            <w:r w:rsidRPr="00946B12">
              <w:rPr>
                <w:rFonts w:ascii="Calibri" w:eastAsia="Times New Roman" w:hAnsi="Calibri" w:cs="Arial"/>
                <w:color w:val="000000"/>
                <w:sz w:val="20"/>
                <w:szCs w:val="20"/>
              </w:rPr>
              <w:t>531</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sidRPr="008C12D7">
              <w:rPr>
                <w:rFonts w:cs="Arial"/>
                <w:color w:val="000000"/>
                <w:sz w:val="20"/>
                <w:szCs w:val="20"/>
              </w:rPr>
              <w:t>30.1%</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English Language Learner (ESL/ELL)</w:t>
            </w:r>
          </w:p>
        </w:tc>
        <w:tc>
          <w:tcPr>
            <w:tcW w:w="2592"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Glendora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61</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56</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-8.2%</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English Language Learner (ESL/ELL)</w:t>
            </w:r>
          </w:p>
        </w:tc>
        <w:tc>
          <w:tcPr>
            <w:tcW w:w="2592" w:type="dxa"/>
            <w:tcBorders>
              <w:top w:val="single" w:sz="4" w:space="0" w:color="auto"/>
              <w:left w:val="nil"/>
              <w:bottom w:val="single" w:sz="4" w:space="0" w:color="auto"/>
              <w:right w:val="single" w:sz="4" w:space="0" w:color="auto"/>
            </w:tcBorders>
            <w:shd w:val="clear" w:color="auto" w:fill="CCFFCC"/>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Monrovia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782</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627</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-19.8%</w:t>
            </w:r>
          </w:p>
        </w:tc>
      </w:tr>
      <w:tr w:rsidR="008C12D7" w:rsidRPr="00741634" w:rsidTr="007839A3">
        <w:trPr>
          <w:trHeight w:val="331"/>
        </w:trPr>
        <w:tc>
          <w:tcPr>
            <w:tcW w:w="3312" w:type="dxa"/>
            <w:tcBorders>
              <w:top w:val="nil"/>
              <w:left w:val="single" w:sz="4" w:space="0" w:color="auto"/>
              <w:bottom w:val="single" w:sz="12" w:space="0" w:color="auto"/>
              <w:right w:val="single" w:sz="4" w:space="0" w:color="auto"/>
            </w:tcBorders>
            <w:shd w:val="clear" w:color="auto" w:fill="auto"/>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 </w:t>
            </w:r>
          </w:p>
        </w:tc>
        <w:tc>
          <w:tcPr>
            <w:tcW w:w="2592" w:type="dxa"/>
            <w:tcBorders>
              <w:top w:val="nil"/>
              <w:left w:val="nil"/>
              <w:bottom w:val="single" w:sz="12" w:space="0" w:color="auto"/>
              <w:right w:val="single" w:sz="4" w:space="0" w:color="auto"/>
            </w:tcBorders>
            <w:shd w:val="clear" w:color="auto" w:fill="auto"/>
            <w:noWrap/>
            <w:vAlign w:val="center"/>
            <w:hideMark/>
          </w:tcPr>
          <w:p w:rsidR="008C12D7" w:rsidRPr="005D0BD6" w:rsidRDefault="008C12D7" w:rsidP="008C12D7">
            <w:pPr>
              <w:spacing w:after="0" w:line="240" w:lineRule="auto"/>
              <w:jc w:val="right"/>
              <w:rPr>
                <w:rFonts w:ascii="Calibri" w:eastAsia="Times New Roman" w:hAnsi="Calibri" w:cs="Arial"/>
                <w:b/>
                <w:color w:val="000000"/>
                <w:sz w:val="20"/>
                <w:szCs w:val="20"/>
              </w:rPr>
            </w:pPr>
            <w:r w:rsidRPr="005D0BD6">
              <w:rPr>
                <w:rFonts w:ascii="Calibri" w:eastAsia="Times New Roman" w:hAnsi="Calibri" w:cs="Arial"/>
                <w:b/>
                <w:color w:val="000000"/>
                <w:sz w:val="20"/>
                <w:szCs w:val="20"/>
              </w:rPr>
              <w:t xml:space="preserve">Total </w:t>
            </w:r>
          </w:p>
        </w:tc>
        <w:tc>
          <w:tcPr>
            <w:tcW w:w="1220" w:type="dxa"/>
            <w:tcBorders>
              <w:top w:val="single" w:sz="4" w:space="0" w:color="auto"/>
              <w:left w:val="single" w:sz="4" w:space="0" w:color="auto"/>
              <w:bottom w:val="single" w:sz="12" w:space="0" w:color="auto"/>
              <w:right w:val="single" w:sz="4" w:space="0" w:color="auto"/>
            </w:tcBorders>
            <w:shd w:val="clear" w:color="auto" w:fill="DEEAF6" w:themeFill="accent1" w:themeFillTint="33"/>
            <w:noWrap/>
            <w:vAlign w:val="center"/>
          </w:tcPr>
          <w:p w:rsidR="008C12D7" w:rsidRPr="005D0BD6" w:rsidRDefault="008C12D7" w:rsidP="008C12D7">
            <w:pPr>
              <w:spacing w:after="0"/>
              <w:jc w:val="right"/>
              <w:rPr>
                <w:rFonts w:ascii="Calibri" w:hAnsi="Calibri" w:cs="Arial"/>
                <w:b/>
                <w:color w:val="000000"/>
                <w:sz w:val="20"/>
                <w:szCs w:val="20"/>
              </w:rPr>
            </w:pPr>
            <w:r w:rsidRPr="005D0BD6">
              <w:rPr>
                <w:rFonts w:ascii="Calibri" w:hAnsi="Calibri" w:cs="Arial"/>
                <w:b/>
                <w:color w:val="000000"/>
                <w:sz w:val="20"/>
                <w:szCs w:val="20"/>
              </w:rPr>
              <w:t>1,750</w:t>
            </w:r>
          </w:p>
        </w:tc>
        <w:tc>
          <w:tcPr>
            <w:tcW w:w="1175" w:type="dxa"/>
            <w:tcBorders>
              <w:top w:val="single" w:sz="4" w:space="0" w:color="auto"/>
              <w:left w:val="nil"/>
              <w:bottom w:val="single" w:sz="12" w:space="0" w:color="auto"/>
              <w:right w:val="single" w:sz="4" w:space="0" w:color="auto"/>
            </w:tcBorders>
            <w:shd w:val="clear" w:color="auto" w:fill="66FF33"/>
            <w:vAlign w:val="center"/>
          </w:tcPr>
          <w:p w:rsidR="008C12D7" w:rsidRPr="005D0BD6" w:rsidRDefault="008C12D7" w:rsidP="008C12D7">
            <w:pPr>
              <w:spacing w:after="0" w:line="240" w:lineRule="auto"/>
              <w:jc w:val="right"/>
              <w:rPr>
                <w:rFonts w:eastAsia="Times New Roman" w:cs="Arial"/>
                <w:b/>
                <w:color w:val="000000"/>
                <w:sz w:val="20"/>
                <w:szCs w:val="20"/>
              </w:rPr>
            </w:pPr>
            <w:r w:rsidRPr="005D0BD6">
              <w:rPr>
                <w:rFonts w:eastAsia="Times New Roman" w:cs="Arial"/>
                <w:b/>
                <w:color w:val="000000"/>
                <w:sz w:val="20"/>
                <w:szCs w:val="20"/>
              </w:rPr>
              <w:t>1,706</w:t>
            </w:r>
          </w:p>
        </w:tc>
        <w:tc>
          <w:tcPr>
            <w:tcW w:w="1008" w:type="dxa"/>
            <w:tcBorders>
              <w:top w:val="single" w:sz="6" w:space="0" w:color="auto"/>
              <w:left w:val="nil"/>
              <w:bottom w:val="single" w:sz="12" w:space="0" w:color="auto"/>
              <w:right w:val="single" w:sz="4" w:space="0" w:color="auto"/>
            </w:tcBorders>
            <w:shd w:val="clear" w:color="auto" w:fill="auto"/>
            <w:vAlign w:val="center"/>
          </w:tcPr>
          <w:p w:rsidR="008C12D7" w:rsidRPr="005D0BD6" w:rsidRDefault="008C12D7" w:rsidP="008C12D7">
            <w:pPr>
              <w:spacing w:after="0"/>
              <w:jc w:val="right"/>
              <w:rPr>
                <w:rFonts w:cs="Arial"/>
                <w:b/>
                <w:color w:val="FF0000"/>
                <w:sz w:val="20"/>
                <w:szCs w:val="20"/>
              </w:rPr>
            </w:pPr>
            <w:r w:rsidRPr="005D0BD6">
              <w:rPr>
                <w:rFonts w:cs="Arial"/>
                <w:b/>
                <w:color w:val="FF0000"/>
                <w:sz w:val="20"/>
                <w:szCs w:val="20"/>
              </w:rPr>
              <w:t>-2.5%</w:t>
            </w:r>
          </w:p>
        </w:tc>
      </w:tr>
      <w:tr w:rsidR="008C12D7" w:rsidRPr="00741634" w:rsidTr="007839A3">
        <w:trPr>
          <w:trHeight w:val="331"/>
        </w:trPr>
        <w:tc>
          <w:tcPr>
            <w:tcW w:w="3312" w:type="dxa"/>
            <w:tcBorders>
              <w:top w:val="single" w:sz="12" w:space="0" w:color="auto"/>
              <w:left w:val="single" w:sz="4" w:space="0" w:color="auto"/>
              <w:bottom w:val="single" w:sz="4" w:space="0" w:color="auto"/>
              <w:right w:val="single" w:sz="4" w:space="0" w:color="auto"/>
            </w:tcBorders>
            <w:shd w:val="clear" w:color="auto" w:fill="FFCCFF"/>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High School Diploma (HSD)</w:t>
            </w:r>
          </w:p>
        </w:tc>
        <w:tc>
          <w:tcPr>
            <w:tcW w:w="2592" w:type="dxa"/>
            <w:tcBorders>
              <w:top w:val="single" w:sz="12" w:space="0" w:color="auto"/>
              <w:left w:val="nil"/>
              <w:bottom w:val="single" w:sz="4" w:space="0" w:color="auto"/>
              <w:right w:val="single" w:sz="4" w:space="0" w:color="auto"/>
            </w:tcBorders>
            <w:shd w:val="clear" w:color="auto" w:fill="FFCCFF"/>
            <w:noWrap/>
            <w:vAlign w:val="center"/>
            <w:hideMark/>
          </w:tcPr>
          <w:p w:rsidR="008C12D7" w:rsidRPr="00741634" w:rsidRDefault="00F016F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Azusa Adult Education Center</w:t>
            </w:r>
          </w:p>
        </w:tc>
        <w:tc>
          <w:tcPr>
            <w:tcW w:w="1220" w:type="dxa"/>
            <w:tcBorders>
              <w:top w:val="single" w:sz="12"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130</w:t>
            </w:r>
          </w:p>
        </w:tc>
        <w:tc>
          <w:tcPr>
            <w:tcW w:w="1175" w:type="dxa"/>
            <w:tcBorders>
              <w:top w:val="single" w:sz="12"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207</w:t>
            </w:r>
          </w:p>
        </w:tc>
        <w:tc>
          <w:tcPr>
            <w:tcW w:w="1008" w:type="dxa"/>
            <w:tcBorders>
              <w:top w:val="single" w:sz="12"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sidRPr="008C12D7">
              <w:rPr>
                <w:rFonts w:cs="Arial"/>
                <w:color w:val="000000"/>
                <w:sz w:val="20"/>
                <w:szCs w:val="20"/>
              </w:rPr>
              <w:t>59.2%</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High School Diploma (HSD)</w:t>
            </w:r>
          </w:p>
        </w:tc>
        <w:tc>
          <w:tcPr>
            <w:tcW w:w="2592"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Claremont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78</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114</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sidRPr="008C12D7">
              <w:rPr>
                <w:rFonts w:cs="Arial"/>
                <w:color w:val="000000"/>
                <w:sz w:val="20"/>
                <w:szCs w:val="20"/>
              </w:rPr>
              <w:t>46.2%</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High School Diploma (HSD)</w:t>
            </w:r>
          </w:p>
        </w:tc>
        <w:tc>
          <w:tcPr>
            <w:tcW w:w="2592"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Glendora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36</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25</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-30.6%</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High School Diploma (HSD)</w:t>
            </w:r>
          </w:p>
        </w:tc>
        <w:tc>
          <w:tcPr>
            <w:tcW w:w="2592" w:type="dxa"/>
            <w:tcBorders>
              <w:top w:val="single" w:sz="4" w:space="0" w:color="auto"/>
              <w:left w:val="nil"/>
              <w:bottom w:val="single" w:sz="4" w:space="0" w:color="auto"/>
              <w:right w:val="single" w:sz="4" w:space="0" w:color="auto"/>
            </w:tcBorders>
            <w:shd w:val="clear" w:color="auto" w:fill="CCFFCC"/>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Monrovia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143</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140</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-2.1%</w:t>
            </w:r>
          </w:p>
        </w:tc>
      </w:tr>
      <w:tr w:rsidR="008C12D7" w:rsidRPr="00741634" w:rsidTr="007839A3">
        <w:trPr>
          <w:trHeight w:val="331"/>
        </w:trPr>
        <w:tc>
          <w:tcPr>
            <w:tcW w:w="3312" w:type="dxa"/>
            <w:tcBorders>
              <w:top w:val="nil"/>
              <w:left w:val="single" w:sz="4" w:space="0" w:color="auto"/>
              <w:bottom w:val="single" w:sz="12" w:space="0" w:color="auto"/>
              <w:right w:val="single" w:sz="4" w:space="0" w:color="auto"/>
            </w:tcBorders>
            <w:shd w:val="clear" w:color="auto" w:fill="auto"/>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 </w:t>
            </w:r>
          </w:p>
        </w:tc>
        <w:tc>
          <w:tcPr>
            <w:tcW w:w="2592" w:type="dxa"/>
            <w:tcBorders>
              <w:top w:val="nil"/>
              <w:left w:val="nil"/>
              <w:bottom w:val="single" w:sz="12" w:space="0" w:color="auto"/>
              <w:right w:val="single" w:sz="4" w:space="0" w:color="auto"/>
            </w:tcBorders>
            <w:shd w:val="clear" w:color="auto" w:fill="auto"/>
            <w:noWrap/>
            <w:vAlign w:val="center"/>
            <w:hideMark/>
          </w:tcPr>
          <w:p w:rsidR="008C12D7" w:rsidRPr="005D0BD6" w:rsidRDefault="008C12D7" w:rsidP="008C12D7">
            <w:pPr>
              <w:spacing w:after="0" w:line="240" w:lineRule="auto"/>
              <w:jc w:val="right"/>
              <w:rPr>
                <w:rFonts w:ascii="Calibri" w:eastAsia="Times New Roman" w:hAnsi="Calibri" w:cs="Arial"/>
                <w:b/>
                <w:color w:val="000000"/>
                <w:sz w:val="20"/>
                <w:szCs w:val="20"/>
              </w:rPr>
            </w:pPr>
            <w:r w:rsidRPr="005D0BD6">
              <w:rPr>
                <w:rFonts w:ascii="Calibri" w:eastAsia="Times New Roman" w:hAnsi="Calibri" w:cs="Arial"/>
                <w:b/>
                <w:color w:val="000000"/>
                <w:sz w:val="20"/>
                <w:szCs w:val="20"/>
              </w:rPr>
              <w:t xml:space="preserve">Total </w:t>
            </w:r>
          </w:p>
        </w:tc>
        <w:tc>
          <w:tcPr>
            <w:tcW w:w="1220" w:type="dxa"/>
            <w:tcBorders>
              <w:top w:val="single" w:sz="4" w:space="0" w:color="auto"/>
              <w:left w:val="single" w:sz="4" w:space="0" w:color="auto"/>
              <w:bottom w:val="single" w:sz="12" w:space="0" w:color="auto"/>
              <w:right w:val="single" w:sz="4" w:space="0" w:color="auto"/>
            </w:tcBorders>
            <w:shd w:val="clear" w:color="auto" w:fill="DEEAF6" w:themeFill="accent1" w:themeFillTint="33"/>
            <w:noWrap/>
            <w:vAlign w:val="center"/>
          </w:tcPr>
          <w:p w:rsidR="008C12D7" w:rsidRPr="005D0BD6" w:rsidRDefault="008C12D7" w:rsidP="008C12D7">
            <w:pPr>
              <w:spacing w:after="0"/>
              <w:jc w:val="right"/>
              <w:rPr>
                <w:rFonts w:ascii="Calibri" w:hAnsi="Calibri" w:cs="Arial"/>
                <w:b/>
                <w:color w:val="000000"/>
                <w:sz w:val="20"/>
                <w:szCs w:val="20"/>
              </w:rPr>
            </w:pPr>
            <w:r w:rsidRPr="005D0BD6">
              <w:rPr>
                <w:rFonts w:ascii="Calibri" w:hAnsi="Calibri" w:cs="Arial"/>
                <w:b/>
                <w:color w:val="000000"/>
                <w:sz w:val="20"/>
                <w:szCs w:val="20"/>
              </w:rPr>
              <w:t>387</w:t>
            </w:r>
          </w:p>
        </w:tc>
        <w:tc>
          <w:tcPr>
            <w:tcW w:w="1175" w:type="dxa"/>
            <w:tcBorders>
              <w:top w:val="single" w:sz="4" w:space="0" w:color="auto"/>
              <w:left w:val="nil"/>
              <w:bottom w:val="single" w:sz="12" w:space="0" w:color="auto"/>
              <w:right w:val="single" w:sz="4" w:space="0" w:color="auto"/>
            </w:tcBorders>
            <w:shd w:val="clear" w:color="auto" w:fill="66FF33"/>
            <w:vAlign w:val="center"/>
          </w:tcPr>
          <w:p w:rsidR="008C12D7" w:rsidRPr="005D0BD6" w:rsidRDefault="008C12D7" w:rsidP="008C12D7">
            <w:pPr>
              <w:spacing w:after="0" w:line="240" w:lineRule="auto"/>
              <w:jc w:val="right"/>
              <w:rPr>
                <w:rFonts w:eastAsia="Times New Roman" w:cs="Arial"/>
                <w:b/>
                <w:color w:val="000000"/>
                <w:sz w:val="20"/>
                <w:szCs w:val="20"/>
              </w:rPr>
            </w:pPr>
            <w:r w:rsidRPr="005D0BD6">
              <w:rPr>
                <w:rFonts w:eastAsia="Times New Roman" w:cs="Arial"/>
                <w:b/>
                <w:color w:val="000000"/>
                <w:sz w:val="20"/>
                <w:szCs w:val="20"/>
              </w:rPr>
              <w:t>486</w:t>
            </w:r>
          </w:p>
        </w:tc>
        <w:tc>
          <w:tcPr>
            <w:tcW w:w="1008" w:type="dxa"/>
            <w:tcBorders>
              <w:top w:val="single" w:sz="6" w:space="0" w:color="auto"/>
              <w:left w:val="nil"/>
              <w:bottom w:val="single" w:sz="12" w:space="0" w:color="auto"/>
              <w:right w:val="single" w:sz="4" w:space="0" w:color="auto"/>
            </w:tcBorders>
            <w:shd w:val="clear" w:color="auto" w:fill="auto"/>
            <w:vAlign w:val="center"/>
          </w:tcPr>
          <w:p w:rsidR="008C12D7" w:rsidRPr="005D0BD6" w:rsidRDefault="008C12D7" w:rsidP="008C12D7">
            <w:pPr>
              <w:spacing w:after="0"/>
              <w:jc w:val="right"/>
              <w:rPr>
                <w:rFonts w:cs="Arial"/>
                <w:b/>
                <w:color w:val="000000"/>
                <w:sz w:val="20"/>
                <w:szCs w:val="20"/>
              </w:rPr>
            </w:pPr>
            <w:r w:rsidRPr="005D0BD6">
              <w:rPr>
                <w:rFonts w:cs="Arial"/>
                <w:b/>
                <w:color w:val="000000"/>
                <w:sz w:val="20"/>
                <w:szCs w:val="20"/>
              </w:rPr>
              <w:t>25.6%</w:t>
            </w:r>
          </w:p>
        </w:tc>
      </w:tr>
      <w:tr w:rsidR="008C12D7" w:rsidRPr="00741634" w:rsidTr="007839A3">
        <w:trPr>
          <w:trHeight w:val="331"/>
        </w:trPr>
        <w:tc>
          <w:tcPr>
            <w:tcW w:w="3312" w:type="dxa"/>
            <w:tcBorders>
              <w:top w:val="single" w:sz="12" w:space="0" w:color="auto"/>
              <w:left w:val="single" w:sz="4" w:space="0" w:color="auto"/>
              <w:bottom w:val="single" w:sz="4" w:space="0" w:color="auto"/>
              <w:right w:val="single" w:sz="4" w:space="0" w:color="auto"/>
            </w:tcBorders>
            <w:shd w:val="clear" w:color="auto" w:fill="FFCCFF"/>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High School Equivalency (HSE)</w:t>
            </w:r>
          </w:p>
        </w:tc>
        <w:tc>
          <w:tcPr>
            <w:tcW w:w="2592" w:type="dxa"/>
            <w:tcBorders>
              <w:top w:val="single" w:sz="12" w:space="0" w:color="auto"/>
              <w:left w:val="nil"/>
              <w:bottom w:val="single" w:sz="4" w:space="0" w:color="auto"/>
              <w:right w:val="single" w:sz="4" w:space="0" w:color="auto"/>
            </w:tcBorders>
            <w:shd w:val="clear" w:color="auto" w:fill="FFCCFF"/>
            <w:noWrap/>
            <w:vAlign w:val="center"/>
            <w:hideMark/>
          </w:tcPr>
          <w:p w:rsidR="008C12D7" w:rsidRPr="00741634" w:rsidRDefault="00F016F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Azusa Adult Education Center</w:t>
            </w:r>
          </w:p>
        </w:tc>
        <w:tc>
          <w:tcPr>
            <w:tcW w:w="1220" w:type="dxa"/>
            <w:tcBorders>
              <w:top w:val="single" w:sz="12"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60</w:t>
            </w:r>
          </w:p>
        </w:tc>
        <w:tc>
          <w:tcPr>
            <w:tcW w:w="1175" w:type="dxa"/>
            <w:tcBorders>
              <w:top w:val="single" w:sz="12"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155</w:t>
            </w:r>
          </w:p>
        </w:tc>
        <w:tc>
          <w:tcPr>
            <w:tcW w:w="1008" w:type="dxa"/>
            <w:tcBorders>
              <w:top w:val="single" w:sz="12"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sidRPr="008C12D7">
              <w:rPr>
                <w:rFonts w:cs="Arial"/>
                <w:color w:val="000000"/>
                <w:sz w:val="20"/>
                <w:szCs w:val="20"/>
              </w:rPr>
              <w:t>158.3%</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High School Equivalency (HSE)</w:t>
            </w:r>
          </w:p>
        </w:tc>
        <w:tc>
          <w:tcPr>
            <w:tcW w:w="2592"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Claremont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58</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34</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-41.4%</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High School Equivalency (HSE)</w:t>
            </w:r>
          </w:p>
        </w:tc>
        <w:tc>
          <w:tcPr>
            <w:tcW w:w="2592" w:type="dxa"/>
            <w:tcBorders>
              <w:top w:val="single" w:sz="4" w:space="0" w:color="auto"/>
              <w:left w:val="nil"/>
              <w:bottom w:val="single" w:sz="4" w:space="0" w:color="auto"/>
              <w:right w:val="single" w:sz="4" w:space="0" w:color="auto"/>
            </w:tcBorders>
            <w:shd w:val="clear" w:color="auto" w:fill="CCFFCC"/>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Monrovia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142</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77</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-45.8%</w:t>
            </w:r>
          </w:p>
        </w:tc>
      </w:tr>
      <w:tr w:rsidR="008C12D7" w:rsidRPr="00741634" w:rsidTr="007839A3">
        <w:trPr>
          <w:trHeight w:val="331"/>
        </w:trPr>
        <w:tc>
          <w:tcPr>
            <w:tcW w:w="3312" w:type="dxa"/>
            <w:tcBorders>
              <w:top w:val="nil"/>
              <w:left w:val="single" w:sz="4" w:space="0" w:color="auto"/>
              <w:bottom w:val="single" w:sz="12" w:space="0" w:color="auto"/>
              <w:right w:val="single" w:sz="4" w:space="0" w:color="auto"/>
            </w:tcBorders>
            <w:shd w:val="clear" w:color="auto" w:fill="auto"/>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 </w:t>
            </w:r>
          </w:p>
        </w:tc>
        <w:tc>
          <w:tcPr>
            <w:tcW w:w="2592" w:type="dxa"/>
            <w:tcBorders>
              <w:top w:val="nil"/>
              <w:left w:val="nil"/>
              <w:bottom w:val="single" w:sz="12" w:space="0" w:color="auto"/>
              <w:right w:val="single" w:sz="4" w:space="0" w:color="auto"/>
            </w:tcBorders>
            <w:shd w:val="clear" w:color="auto" w:fill="auto"/>
            <w:noWrap/>
            <w:vAlign w:val="center"/>
            <w:hideMark/>
          </w:tcPr>
          <w:p w:rsidR="008C12D7" w:rsidRPr="005D0BD6" w:rsidRDefault="008C12D7" w:rsidP="008C12D7">
            <w:pPr>
              <w:spacing w:after="0" w:line="240" w:lineRule="auto"/>
              <w:jc w:val="right"/>
              <w:rPr>
                <w:rFonts w:ascii="Calibri" w:eastAsia="Times New Roman" w:hAnsi="Calibri" w:cs="Arial"/>
                <w:b/>
                <w:color w:val="000000"/>
                <w:sz w:val="20"/>
                <w:szCs w:val="20"/>
              </w:rPr>
            </w:pPr>
            <w:r w:rsidRPr="005D0BD6">
              <w:rPr>
                <w:rFonts w:ascii="Calibri" w:eastAsia="Times New Roman" w:hAnsi="Calibri" w:cs="Arial"/>
                <w:b/>
                <w:color w:val="000000"/>
                <w:sz w:val="20"/>
                <w:szCs w:val="20"/>
              </w:rPr>
              <w:t xml:space="preserve">Total </w:t>
            </w:r>
          </w:p>
        </w:tc>
        <w:tc>
          <w:tcPr>
            <w:tcW w:w="1220" w:type="dxa"/>
            <w:tcBorders>
              <w:top w:val="single" w:sz="4" w:space="0" w:color="auto"/>
              <w:left w:val="single" w:sz="4" w:space="0" w:color="auto"/>
              <w:bottom w:val="single" w:sz="12" w:space="0" w:color="auto"/>
              <w:right w:val="single" w:sz="4" w:space="0" w:color="auto"/>
            </w:tcBorders>
            <w:shd w:val="clear" w:color="auto" w:fill="DEEAF6" w:themeFill="accent1" w:themeFillTint="33"/>
            <w:noWrap/>
            <w:vAlign w:val="center"/>
          </w:tcPr>
          <w:p w:rsidR="008C12D7" w:rsidRPr="005D0BD6" w:rsidRDefault="008C12D7" w:rsidP="008C12D7">
            <w:pPr>
              <w:spacing w:after="0"/>
              <w:jc w:val="right"/>
              <w:rPr>
                <w:rFonts w:ascii="Calibri" w:hAnsi="Calibri" w:cs="Arial"/>
                <w:b/>
                <w:color w:val="000000"/>
                <w:sz w:val="20"/>
                <w:szCs w:val="20"/>
              </w:rPr>
            </w:pPr>
            <w:r w:rsidRPr="005D0BD6">
              <w:rPr>
                <w:rFonts w:ascii="Calibri" w:hAnsi="Calibri" w:cs="Arial"/>
                <w:b/>
                <w:color w:val="000000"/>
                <w:sz w:val="20"/>
                <w:szCs w:val="20"/>
              </w:rPr>
              <w:t>260</w:t>
            </w:r>
          </w:p>
        </w:tc>
        <w:tc>
          <w:tcPr>
            <w:tcW w:w="1175" w:type="dxa"/>
            <w:tcBorders>
              <w:top w:val="single" w:sz="4" w:space="0" w:color="auto"/>
              <w:left w:val="nil"/>
              <w:bottom w:val="single" w:sz="12" w:space="0" w:color="auto"/>
              <w:right w:val="single" w:sz="4" w:space="0" w:color="auto"/>
            </w:tcBorders>
            <w:shd w:val="clear" w:color="auto" w:fill="66FF33"/>
            <w:vAlign w:val="center"/>
          </w:tcPr>
          <w:p w:rsidR="008C12D7" w:rsidRPr="005D0BD6" w:rsidRDefault="008C12D7" w:rsidP="008C12D7">
            <w:pPr>
              <w:spacing w:after="0" w:line="240" w:lineRule="auto"/>
              <w:jc w:val="right"/>
              <w:rPr>
                <w:rFonts w:eastAsia="Times New Roman" w:cs="Arial"/>
                <w:b/>
                <w:color w:val="000000"/>
                <w:sz w:val="20"/>
                <w:szCs w:val="20"/>
              </w:rPr>
            </w:pPr>
            <w:r w:rsidRPr="005D0BD6">
              <w:rPr>
                <w:rFonts w:eastAsia="Times New Roman" w:cs="Arial"/>
                <w:b/>
                <w:color w:val="000000"/>
                <w:sz w:val="20"/>
                <w:szCs w:val="20"/>
              </w:rPr>
              <w:t>266</w:t>
            </w:r>
          </w:p>
        </w:tc>
        <w:tc>
          <w:tcPr>
            <w:tcW w:w="1008" w:type="dxa"/>
            <w:tcBorders>
              <w:top w:val="single" w:sz="6" w:space="0" w:color="auto"/>
              <w:left w:val="nil"/>
              <w:bottom w:val="single" w:sz="12" w:space="0" w:color="auto"/>
              <w:right w:val="single" w:sz="4" w:space="0" w:color="auto"/>
            </w:tcBorders>
            <w:shd w:val="clear" w:color="auto" w:fill="auto"/>
            <w:vAlign w:val="center"/>
          </w:tcPr>
          <w:p w:rsidR="008C12D7" w:rsidRPr="005D0BD6" w:rsidRDefault="008C12D7" w:rsidP="008C12D7">
            <w:pPr>
              <w:spacing w:after="0"/>
              <w:jc w:val="right"/>
              <w:rPr>
                <w:rFonts w:cs="Arial"/>
                <w:b/>
                <w:color w:val="000000"/>
                <w:sz w:val="20"/>
                <w:szCs w:val="20"/>
              </w:rPr>
            </w:pPr>
            <w:r w:rsidRPr="005D0BD6">
              <w:rPr>
                <w:rFonts w:cs="Arial"/>
                <w:b/>
                <w:color w:val="000000"/>
                <w:sz w:val="20"/>
                <w:szCs w:val="20"/>
              </w:rPr>
              <w:t>2.3%</w:t>
            </w:r>
          </w:p>
        </w:tc>
      </w:tr>
      <w:tr w:rsidR="008C12D7" w:rsidRPr="00741634" w:rsidTr="007839A3">
        <w:trPr>
          <w:trHeight w:val="331"/>
        </w:trPr>
        <w:tc>
          <w:tcPr>
            <w:tcW w:w="3312" w:type="dxa"/>
            <w:tcBorders>
              <w:top w:val="single" w:sz="12" w:space="0" w:color="auto"/>
              <w:left w:val="single" w:sz="4" w:space="0" w:color="auto"/>
              <w:bottom w:val="single" w:sz="4" w:space="0" w:color="auto"/>
              <w:right w:val="single" w:sz="4" w:space="0" w:color="auto"/>
            </w:tcBorders>
            <w:shd w:val="clear" w:color="auto" w:fill="FFCCFF"/>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Students in Two or more Programs</w:t>
            </w:r>
          </w:p>
        </w:tc>
        <w:tc>
          <w:tcPr>
            <w:tcW w:w="2592" w:type="dxa"/>
            <w:tcBorders>
              <w:top w:val="single" w:sz="12" w:space="0" w:color="auto"/>
              <w:left w:val="nil"/>
              <w:bottom w:val="single" w:sz="4" w:space="0" w:color="auto"/>
              <w:right w:val="single" w:sz="4" w:space="0" w:color="auto"/>
            </w:tcBorders>
            <w:shd w:val="clear" w:color="auto" w:fill="FFCCFF"/>
            <w:noWrap/>
            <w:vAlign w:val="center"/>
            <w:hideMark/>
          </w:tcPr>
          <w:p w:rsidR="008C12D7" w:rsidRPr="00741634" w:rsidRDefault="00F016F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Azusa Adult Education Center</w:t>
            </w:r>
          </w:p>
        </w:tc>
        <w:tc>
          <w:tcPr>
            <w:tcW w:w="1220" w:type="dxa"/>
            <w:tcBorders>
              <w:top w:val="single" w:sz="12"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822</w:t>
            </w:r>
          </w:p>
        </w:tc>
        <w:tc>
          <w:tcPr>
            <w:tcW w:w="1175" w:type="dxa"/>
            <w:tcBorders>
              <w:top w:val="single" w:sz="12"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821</w:t>
            </w:r>
          </w:p>
        </w:tc>
        <w:tc>
          <w:tcPr>
            <w:tcW w:w="1008" w:type="dxa"/>
            <w:tcBorders>
              <w:top w:val="single" w:sz="12"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sidRPr="008C12D7">
              <w:rPr>
                <w:rFonts w:cs="Arial"/>
                <w:color w:val="000000"/>
                <w:sz w:val="20"/>
                <w:szCs w:val="20"/>
              </w:rPr>
              <w:t>-0.1%</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Students in Two or more Programs</w:t>
            </w:r>
          </w:p>
        </w:tc>
        <w:tc>
          <w:tcPr>
            <w:tcW w:w="2592"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Claremont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74</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165</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sidRPr="008C12D7">
              <w:rPr>
                <w:rFonts w:cs="Arial"/>
                <w:color w:val="000000"/>
                <w:sz w:val="20"/>
                <w:szCs w:val="20"/>
              </w:rPr>
              <w:t>123.0%</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Students in Two or more Programs</w:t>
            </w:r>
          </w:p>
        </w:tc>
        <w:tc>
          <w:tcPr>
            <w:tcW w:w="2592" w:type="dxa"/>
            <w:tcBorders>
              <w:top w:val="single" w:sz="4" w:space="0" w:color="auto"/>
              <w:left w:val="nil"/>
              <w:bottom w:val="single" w:sz="4" w:space="0" w:color="auto"/>
              <w:right w:val="single" w:sz="4" w:space="0" w:color="auto"/>
            </w:tcBorders>
            <w:shd w:val="clear" w:color="auto" w:fill="FFE599" w:themeFill="accent4" w:themeFillTint="66"/>
            <w:noWrap/>
            <w:vAlign w:val="center"/>
          </w:tcPr>
          <w:p w:rsidR="008C12D7" w:rsidRPr="00741634" w:rsidRDefault="008C12D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Glendora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1</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Pr>
                <w:rFonts w:eastAsia="Times New Roman" w:cs="Arial"/>
                <w:color w:val="000000"/>
                <w:sz w:val="20"/>
                <w:szCs w:val="20"/>
              </w:rPr>
              <w:t>0</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-100.0%</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Students in Two or more Programs</w:t>
            </w:r>
          </w:p>
        </w:tc>
        <w:tc>
          <w:tcPr>
            <w:tcW w:w="2592" w:type="dxa"/>
            <w:tcBorders>
              <w:top w:val="single" w:sz="4" w:space="0" w:color="auto"/>
              <w:left w:val="nil"/>
              <w:bottom w:val="single" w:sz="4" w:space="0" w:color="auto"/>
              <w:right w:val="single" w:sz="4" w:space="0" w:color="auto"/>
            </w:tcBorders>
            <w:shd w:val="clear" w:color="auto" w:fill="CCFFCC"/>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Monrovia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460</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242</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-47.4%</w:t>
            </w:r>
          </w:p>
        </w:tc>
      </w:tr>
      <w:tr w:rsidR="008C12D7" w:rsidRPr="00741634" w:rsidTr="007839A3">
        <w:trPr>
          <w:trHeight w:val="331"/>
        </w:trPr>
        <w:tc>
          <w:tcPr>
            <w:tcW w:w="3312" w:type="dxa"/>
            <w:tcBorders>
              <w:top w:val="nil"/>
              <w:left w:val="single" w:sz="4" w:space="0" w:color="auto"/>
              <w:bottom w:val="single" w:sz="12" w:space="0" w:color="auto"/>
              <w:right w:val="single" w:sz="4" w:space="0" w:color="auto"/>
            </w:tcBorders>
            <w:shd w:val="clear" w:color="auto" w:fill="auto"/>
            <w:noWrap/>
            <w:vAlign w:val="center"/>
            <w:hideMark/>
          </w:tcPr>
          <w:p w:rsidR="008C12D7" w:rsidRPr="00946B12" w:rsidRDefault="008C12D7" w:rsidP="008C12D7">
            <w:pPr>
              <w:spacing w:after="0" w:line="240" w:lineRule="auto"/>
              <w:jc w:val="right"/>
              <w:rPr>
                <w:rFonts w:eastAsia="Times New Roman" w:cs="Arial"/>
                <w:color w:val="000000"/>
                <w:sz w:val="20"/>
                <w:szCs w:val="20"/>
              </w:rPr>
            </w:pPr>
          </w:p>
        </w:tc>
        <w:tc>
          <w:tcPr>
            <w:tcW w:w="2592" w:type="dxa"/>
            <w:tcBorders>
              <w:top w:val="nil"/>
              <w:left w:val="nil"/>
              <w:bottom w:val="single" w:sz="12" w:space="0" w:color="auto"/>
              <w:right w:val="single" w:sz="4" w:space="0" w:color="auto"/>
            </w:tcBorders>
            <w:shd w:val="clear" w:color="auto" w:fill="auto"/>
            <w:noWrap/>
            <w:vAlign w:val="center"/>
            <w:hideMark/>
          </w:tcPr>
          <w:p w:rsidR="008C12D7" w:rsidRPr="005D0BD6" w:rsidRDefault="005D0BD6" w:rsidP="008C12D7">
            <w:pPr>
              <w:spacing w:after="0"/>
              <w:jc w:val="right"/>
              <w:rPr>
                <w:rFonts w:cs="Arial"/>
                <w:b/>
                <w:color w:val="000000"/>
                <w:sz w:val="20"/>
                <w:szCs w:val="20"/>
              </w:rPr>
            </w:pPr>
            <w:r w:rsidRPr="005D0BD6">
              <w:rPr>
                <w:rFonts w:cs="Arial"/>
                <w:b/>
                <w:color w:val="000000"/>
                <w:sz w:val="20"/>
                <w:szCs w:val="20"/>
              </w:rPr>
              <w:t>Total</w:t>
            </w:r>
          </w:p>
        </w:tc>
        <w:tc>
          <w:tcPr>
            <w:tcW w:w="1220" w:type="dxa"/>
            <w:tcBorders>
              <w:top w:val="single" w:sz="4" w:space="0" w:color="auto"/>
              <w:left w:val="single" w:sz="4" w:space="0" w:color="auto"/>
              <w:bottom w:val="single" w:sz="12" w:space="0" w:color="auto"/>
              <w:right w:val="single" w:sz="4" w:space="0" w:color="auto"/>
            </w:tcBorders>
            <w:shd w:val="clear" w:color="auto" w:fill="DEEAF6" w:themeFill="accent1" w:themeFillTint="33"/>
            <w:noWrap/>
            <w:vAlign w:val="center"/>
          </w:tcPr>
          <w:p w:rsidR="008C12D7" w:rsidRPr="005D0BD6" w:rsidRDefault="008C12D7" w:rsidP="008C12D7">
            <w:pPr>
              <w:spacing w:after="0"/>
              <w:jc w:val="right"/>
              <w:rPr>
                <w:rFonts w:ascii="Calibri" w:hAnsi="Calibri" w:cs="Arial"/>
                <w:b/>
                <w:color w:val="000000"/>
                <w:sz w:val="20"/>
                <w:szCs w:val="20"/>
              </w:rPr>
            </w:pPr>
            <w:r w:rsidRPr="005D0BD6">
              <w:rPr>
                <w:rFonts w:ascii="Calibri" w:hAnsi="Calibri" w:cs="Arial"/>
                <w:b/>
                <w:color w:val="000000"/>
                <w:sz w:val="20"/>
                <w:szCs w:val="20"/>
              </w:rPr>
              <w:t>1,357</w:t>
            </w:r>
          </w:p>
        </w:tc>
        <w:tc>
          <w:tcPr>
            <w:tcW w:w="1175" w:type="dxa"/>
            <w:tcBorders>
              <w:top w:val="single" w:sz="4" w:space="0" w:color="auto"/>
              <w:left w:val="nil"/>
              <w:bottom w:val="single" w:sz="12" w:space="0" w:color="auto"/>
              <w:right w:val="single" w:sz="4" w:space="0" w:color="auto"/>
            </w:tcBorders>
            <w:shd w:val="clear" w:color="auto" w:fill="66FF33"/>
            <w:vAlign w:val="center"/>
          </w:tcPr>
          <w:p w:rsidR="008C12D7" w:rsidRPr="005D0BD6" w:rsidRDefault="008C12D7" w:rsidP="008C12D7">
            <w:pPr>
              <w:spacing w:after="0" w:line="240" w:lineRule="auto"/>
              <w:jc w:val="right"/>
              <w:rPr>
                <w:rFonts w:eastAsia="Times New Roman" w:cs="Arial"/>
                <w:b/>
                <w:color w:val="000000"/>
                <w:sz w:val="20"/>
                <w:szCs w:val="20"/>
              </w:rPr>
            </w:pPr>
            <w:r w:rsidRPr="005D0BD6">
              <w:rPr>
                <w:rFonts w:eastAsia="Times New Roman" w:cs="Arial"/>
                <w:b/>
                <w:color w:val="000000"/>
                <w:sz w:val="20"/>
                <w:szCs w:val="20"/>
              </w:rPr>
              <w:t>1,228</w:t>
            </w:r>
          </w:p>
        </w:tc>
        <w:tc>
          <w:tcPr>
            <w:tcW w:w="1008" w:type="dxa"/>
            <w:tcBorders>
              <w:top w:val="single" w:sz="6" w:space="0" w:color="auto"/>
              <w:left w:val="nil"/>
              <w:bottom w:val="single" w:sz="12" w:space="0" w:color="auto"/>
              <w:right w:val="single" w:sz="4" w:space="0" w:color="auto"/>
            </w:tcBorders>
            <w:shd w:val="clear" w:color="auto" w:fill="auto"/>
            <w:vAlign w:val="center"/>
          </w:tcPr>
          <w:p w:rsidR="008C12D7" w:rsidRPr="005D0BD6" w:rsidRDefault="008C12D7" w:rsidP="008C12D7">
            <w:pPr>
              <w:spacing w:after="0"/>
              <w:jc w:val="right"/>
              <w:rPr>
                <w:rFonts w:cs="Arial"/>
                <w:b/>
                <w:color w:val="FF0000"/>
                <w:sz w:val="20"/>
                <w:szCs w:val="20"/>
              </w:rPr>
            </w:pPr>
            <w:r w:rsidRPr="005D0BD6">
              <w:rPr>
                <w:rFonts w:cs="Arial"/>
                <w:b/>
                <w:color w:val="FF0000"/>
                <w:sz w:val="20"/>
                <w:szCs w:val="20"/>
              </w:rPr>
              <w:t>-9.5%</w:t>
            </w:r>
          </w:p>
        </w:tc>
      </w:tr>
      <w:tr w:rsidR="008C12D7" w:rsidRPr="00741634" w:rsidTr="007839A3">
        <w:trPr>
          <w:trHeight w:val="331"/>
        </w:trPr>
        <w:tc>
          <w:tcPr>
            <w:tcW w:w="3312" w:type="dxa"/>
            <w:tcBorders>
              <w:top w:val="single" w:sz="12" w:space="0" w:color="auto"/>
              <w:left w:val="single" w:sz="4" w:space="0" w:color="auto"/>
              <w:bottom w:val="single" w:sz="4" w:space="0" w:color="auto"/>
              <w:right w:val="single" w:sz="4" w:space="0" w:color="auto"/>
            </w:tcBorders>
            <w:shd w:val="clear" w:color="auto" w:fill="FFCCFF"/>
            <w:vAlign w:val="center"/>
            <w:hideMark/>
          </w:tcPr>
          <w:p w:rsidR="008C12D7" w:rsidRPr="00F016F7" w:rsidRDefault="008C12D7" w:rsidP="008C12D7">
            <w:pPr>
              <w:spacing w:after="0" w:line="240" w:lineRule="auto"/>
              <w:rPr>
                <w:rFonts w:ascii="Calibri" w:eastAsia="Times New Roman" w:hAnsi="Calibri" w:cs="Arial"/>
                <w:color w:val="000000"/>
                <w:sz w:val="20"/>
                <w:szCs w:val="20"/>
              </w:rPr>
            </w:pPr>
            <w:r w:rsidRPr="00F016F7">
              <w:rPr>
                <w:rFonts w:ascii="Calibri" w:eastAsia="Times New Roman" w:hAnsi="Calibri" w:cs="Arial"/>
                <w:color w:val="000000"/>
                <w:sz w:val="20"/>
                <w:szCs w:val="20"/>
              </w:rPr>
              <w:lastRenderedPageBreak/>
              <w:t>Workforce (Re)Entry</w:t>
            </w:r>
          </w:p>
        </w:tc>
        <w:tc>
          <w:tcPr>
            <w:tcW w:w="2592" w:type="dxa"/>
            <w:tcBorders>
              <w:top w:val="single" w:sz="12" w:space="0" w:color="auto"/>
              <w:left w:val="nil"/>
              <w:bottom w:val="single" w:sz="4" w:space="0" w:color="auto"/>
              <w:right w:val="single" w:sz="4" w:space="0" w:color="auto"/>
            </w:tcBorders>
            <w:shd w:val="clear" w:color="auto" w:fill="FFCCFF"/>
            <w:noWrap/>
            <w:vAlign w:val="center"/>
            <w:hideMark/>
          </w:tcPr>
          <w:p w:rsidR="008C12D7" w:rsidRPr="00F016F7" w:rsidRDefault="00F016F7" w:rsidP="008C12D7">
            <w:pPr>
              <w:spacing w:after="0" w:line="240" w:lineRule="auto"/>
              <w:rPr>
                <w:rFonts w:ascii="Calibri" w:eastAsia="Times New Roman" w:hAnsi="Calibri" w:cs="Arial"/>
                <w:color w:val="000000"/>
                <w:sz w:val="20"/>
                <w:szCs w:val="20"/>
              </w:rPr>
            </w:pPr>
            <w:r w:rsidRPr="00F016F7">
              <w:rPr>
                <w:rFonts w:ascii="Calibri" w:eastAsia="Times New Roman" w:hAnsi="Calibri" w:cs="Arial"/>
                <w:color w:val="000000"/>
                <w:sz w:val="20"/>
                <w:szCs w:val="20"/>
              </w:rPr>
              <w:t>Azusa Adult Education Center</w:t>
            </w:r>
          </w:p>
        </w:tc>
        <w:tc>
          <w:tcPr>
            <w:tcW w:w="1220" w:type="dxa"/>
            <w:tcBorders>
              <w:top w:val="single" w:sz="12"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Pr="00F016F7" w:rsidRDefault="008C12D7" w:rsidP="008C12D7">
            <w:pPr>
              <w:spacing w:after="0"/>
              <w:jc w:val="right"/>
              <w:rPr>
                <w:sz w:val="20"/>
                <w:szCs w:val="20"/>
              </w:rPr>
            </w:pPr>
            <w:r w:rsidRPr="00F016F7">
              <w:rPr>
                <w:sz w:val="20"/>
                <w:szCs w:val="20"/>
              </w:rPr>
              <w:t>836</w:t>
            </w:r>
          </w:p>
        </w:tc>
        <w:tc>
          <w:tcPr>
            <w:tcW w:w="1175" w:type="dxa"/>
            <w:tcBorders>
              <w:top w:val="single" w:sz="12" w:space="0" w:color="auto"/>
              <w:left w:val="nil"/>
              <w:bottom w:val="single" w:sz="4" w:space="0" w:color="auto"/>
              <w:right w:val="single" w:sz="4" w:space="0" w:color="auto"/>
            </w:tcBorders>
            <w:shd w:val="clear" w:color="auto" w:fill="66FF33"/>
            <w:vAlign w:val="center"/>
          </w:tcPr>
          <w:p w:rsidR="008C12D7" w:rsidRPr="00F016F7" w:rsidRDefault="008C12D7" w:rsidP="008C12D7">
            <w:pPr>
              <w:spacing w:after="0" w:line="240" w:lineRule="auto"/>
              <w:jc w:val="right"/>
              <w:rPr>
                <w:rFonts w:eastAsia="Times New Roman" w:cs="Arial"/>
                <w:color w:val="000000"/>
                <w:sz w:val="20"/>
                <w:szCs w:val="20"/>
              </w:rPr>
            </w:pPr>
            <w:r w:rsidRPr="00F016F7">
              <w:rPr>
                <w:rFonts w:eastAsia="Times New Roman" w:cs="Arial"/>
                <w:color w:val="000000"/>
                <w:sz w:val="20"/>
                <w:szCs w:val="20"/>
              </w:rPr>
              <w:t>821</w:t>
            </w:r>
          </w:p>
        </w:tc>
        <w:tc>
          <w:tcPr>
            <w:tcW w:w="1008" w:type="dxa"/>
            <w:tcBorders>
              <w:top w:val="single" w:sz="12"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-1.8%</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C12D7" w:rsidRPr="00946B12" w:rsidRDefault="008C12D7" w:rsidP="008C12D7">
            <w:pPr>
              <w:spacing w:after="0" w:line="240" w:lineRule="auto"/>
              <w:rPr>
                <w:rFonts w:ascii="Calibri" w:eastAsia="Times New Roman" w:hAnsi="Calibri" w:cs="Arial"/>
                <w:color w:val="000000"/>
                <w:sz w:val="20"/>
                <w:szCs w:val="20"/>
              </w:rPr>
            </w:pPr>
            <w:r w:rsidRPr="00946B12">
              <w:rPr>
                <w:rFonts w:ascii="Calibri" w:eastAsia="Times New Roman" w:hAnsi="Calibri" w:cs="Arial"/>
                <w:color w:val="000000"/>
                <w:sz w:val="20"/>
                <w:szCs w:val="20"/>
              </w:rPr>
              <w:t>Workforce (Re)Entry</w:t>
            </w:r>
          </w:p>
        </w:tc>
        <w:tc>
          <w:tcPr>
            <w:tcW w:w="2592"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8C12D7" w:rsidRPr="00946B12" w:rsidRDefault="008C12D7" w:rsidP="008C12D7">
            <w:pPr>
              <w:spacing w:after="0" w:line="240" w:lineRule="auto"/>
              <w:rPr>
                <w:rFonts w:ascii="Calibri" w:eastAsia="Times New Roman" w:hAnsi="Calibri" w:cs="Arial"/>
                <w:color w:val="000000"/>
                <w:sz w:val="20"/>
                <w:szCs w:val="20"/>
              </w:rPr>
            </w:pPr>
            <w:r w:rsidRPr="00946B12">
              <w:rPr>
                <w:rFonts w:ascii="Calibri" w:eastAsia="Times New Roman" w:hAnsi="Calibri" w:cs="Arial"/>
                <w:color w:val="000000"/>
                <w:sz w:val="20"/>
                <w:szCs w:val="20"/>
              </w:rPr>
              <w:t>Claremont Adult School</w:t>
            </w: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C12D7" w:rsidRPr="00946B12" w:rsidRDefault="008C12D7" w:rsidP="008C12D7">
            <w:pPr>
              <w:spacing w:after="0"/>
              <w:jc w:val="right"/>
              <w:rPr>
                <w:sz w:val="20"/>
                <w:szCs w:val="20"/>
              </w:rPr>
            </w:pPr>
            <w:r w:rsidRPr="00946B12">
              <w:rPr>
                <w:sz w:val="20"/>
                <w:szCs w:val="20"/>
              </w:rPr>
              <w:t>0</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89</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Pr>
                <w:rFonts w:cs="Arial"/>
                <w:color w:val="000000"/>
                <w:sz w:val="20"/>
                <w:szCs w:val="20"/>
              </w:rPr>
              <w:t>N/A</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Workforce (Re)Entry</w:t>
            </w:r>
          </w:p>
        </w:tc>
        <w:tc>
          <w:tcPr>
            <w:tcW w:w="2592" w:type="dxa"/>
            <w:tcBorders>
              <w:top w:val="single" w:sz="4" w:space="0" w:color="auto"/>
              <w:left w:val="nil"/>
              <w:bottom w:val="single" w:sz="4" w:space="0" w:color="auto"/>
              <w:right w:val="single" w:sz="4" w:space="0" w:color="auto"/>
            </w:tcBorders>
            <w:shd w:val="clear" w:color="auto" w:fill="CCFFCC"/>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Monrovia Adult School</w:t>
            </w:r>
          </w:p>
        </w:tc>
        <w:tc>
          <w:tcPr>
            <w:tcW w:w="12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8C12D7" w:rsidRPr="00946B12" w:rsidRDefault="008C12D7" w:rsidP="008C12D7">
            <w:pPr>
              <w:spacing w:after="0"/>
              <w:jc w:val="right"/>
              <w:rPr>
                <w:sz w:val="20"/>
                <w:szCs w:val="20"/>
              </w:rPr>
            </w:pPr>
            <w:r>
              <w:rPr>
                <w:sz w:val="20"/>
                <w:szCs w:val="20"/>
              </w:rPr>
              <w:t>277</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Pr>
                <w:rFonts w:eastAsia="Times New Roman" w:cs="Arial"/>
                <w:color w:val="000000"/>
                <w:sz w:val="20"/>
                <w:szCs w:val="20"/>
              </w:rPr>
              <w:t>169</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-39.0%</w:t>
            </w:r>
          </w:p>
        </w:tc>
      </w:tr>
      <w:tr w:rsidR="008C12D7" w:rsidRPr="00741634" w:rsidTr="007839A3">
        <w:trPr>
          <w:trHeight w:val="331"/>
        </w:trPr>
        <w:tc>
          <w:tcPr>
            <w:tcW w:w="3312" w:type="dxa"/>
            <w:tcBorders>
              <w:top w:val="nil"/>
              <w:left w:val="single" w:sz="4" w:space="0" w:color="auto"/>
              <w:bottom w:val="single" w:sz="12" w:space="0" w:color="auto"/>
              <w:right w:val="single" w:sz="4" w:space="0" w:color="auto"/>
            </w:tcBorders>
            <w:shd w:val="clear" w:color="auto" w:fill="auto"/>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 </w:t>
            </w:r>
          </w:p>
        </w:tc>
        <w:tc>
          <w:tcPr>
            <w:tcW w:w="2592" w:type="dxa"/>
            <w:tcBorders>
              <w:top w:val="nil"/>
              <w:left w:val="nil"/>
              <w:bottom w:val="single" w:sz="12" w:space="0" w:color="auto"/>
              <w:right w:val="single" w:sz="4" w:space="0" w:color="auto"/>
            </w:tcBorders>
            <w:shd w:val="clear" w:color="auto" w:fill="auto"/>
            <w:noWrap/>
            <w:vAlign w:val="center"/>
            <w:hideMark/>
          </w:tcPr>
          <w:p w:rsidR="008C12D7" w:rsidRPr="005D0BD6" w:rsidRDefault="008C12D7" w:rsidP="008C12D7">
            <w:pPr>
              <w:spacing w:after="0" w:line="240" w:lineRule="auto"/>
              <w:jc w:val="right"/>
              <w:rPr>
                <w:rFonts w:ascii="Calibri" w:eastAsia="Times New Roman" w:hAnsi="Calibri" w:cs="Arial"/>
                <w:b/>
                <w:color w:val="000000"/>
                <w:sz w:val="20"/>
                <w:szCs w:val="20"/>
              </w:rPr>
            </w:pPr>
            <w:r w:rsidRPr="005D0BD6">
              <w:rPr>
                <w:rFonts w:ascii="Calibri" w:eastAsia="Times New Roman" w:hAnsi="Calibri" w:cs="Arial"/>
                <w:b/>
                <w:color w:val="000000"/>
                <w:sz w:val="20"/>
                <w:szCs w:val="20"/>
              </w:rPr>
              <w:t xml:space="preserve">Total </w:t>
            </w:r>
          </w:p>
        </w:tc>
        <w:tc>
          <w:tcPr>
            <w:tcW w:w="1220" w:type="dxa"/>
            <w:tcBorders>
              <w:top w:val="single" w:sz="4" w:space="0" w:color="auto"/>
              <w:left w:val="nil"/>
              <w:bottom w:val="single" w:sz="12" w:space="0" w:color="auto"/>
              <w:right w:val="single" w:sz="4" w:space="0" w:color="auto"/>
            </w:tcBorders>
            <w:shd w:val="clear" w:color="auto" w:fill="DEEAF6" w:themeFill="accent1" w:themeFillTint="33"/>
            <w:noWrap/>
            <w:vAlign w:val="center"/>
          </w:tcPr>
          <w:p w:rsidR="008C12D7" w:rsidRPr="005D0BD6" w:rsidRDefault="008C12D7" w:rsidP="008C12D7">
            <w:pPr>
              <w:spacing w:after="0"/>
              <w:jc w:val="right"/>
              <w:rPr>
                <w:b/>
                <w:sz w:val="20"/>
                <w:szCs w:val="20"/>
              </w:rPr>
            </w:pPr>
            <w:r w:rsidRPr="005D0BD6">
              <w:rPr>
                <w:b/>
                <w:sz w:val="20"/>
                <w:szCs w:val="20"/>
              </w:rPr>
              <w:t>1,113</w:t>
            </w:r>
          </w:p>
        </w:tc>
        <w:tc>
          <w:tcPr>
            <w:tcW w:w="1175" w:type="dxa"/>
            <w:tcBorders>
              <w:top w:val="single" w:sz="4" w:space="0" w:color="auto"/>
              <w:left w:val="nil"/>
              <w:bottom w:val="single" w:sz="12" w:space="0" w:color="auto"/>
              <w:right w:val="single" w:sz="4" w:space="0" w:color="auto"/>
            </w:tcBorders>
            <w:shd w:val="clear" w:color="auto" w:fill="66FF33"/>
            <w:vAlign w:val="center"/>
          </w:tcPr>
          <w:p w:rsidR="008C12D7" w:rsidRPr="005D0BD6" w:rsidRDefault="008C12D7" w:rsidP="008C12D7">
            <w:pPr>
              <w:spacing w:after="0" w:line="240" w:lineRule="auto"/>
              <w:jc w:val="right"/>
              <w:rPr>
                <w:rFonts w:eastAsia="Times New Roman" w:cs="Arial"/>
                <w:b/>
                <w:color w:val="000000"/>
                <w:sz w:val="20"/>
                <w:szCs w:val="20"/>
              </w:rPr>
            </w:pPr>
            <w:r w:rsidRPr="005D0BD6">
              <w:rPr>
                <w:rFonts w:eastAsia="Times New Roman" w:cs="Arial"/>
                <w:b/>
                <w:color w:val="000000"/>
                <w:sz w:val="20"/>
                <w:szCs w:val="20"/>
              </w:rPr>
              <w:t>1,071</w:t>
            </w:r>
          </w:p>
        </w:tc>
        <w:tc>
          <w:tcPr>
            <w:tcW w:w="1008" w:type="dxa"/>
            <w:tcBorders>
              <w:top w:val="single" w:sz="6" w:space="0" w:color="auto"/>
              <w:left w:val="nil"/>
              <w:bottom w:val="single" w:sz="12" w:space="0" w:color="auto"/>
              <w:right w:val="single" w:sz="4" w:space="0" w:color="auto"/>
            </w:tcBorders>
            <w:shd w:val="clear" w:color="auto" w:fill="auto"/>
            <w:vAlign w:val="center"/>
          </w:tcPr>
          <w:p w:rsidR="008C12D7" w:rsidRPr="005D0BD6" w:rsidRDefault="008C12D7" w:rsidP="008C12D7">
            <w:pPr>
              <w:spacing w:after="0"/>
              <w:jc w:val="right"/>
              <w:rPr>
                <w:rFonts w:cs="Arial"/>
                <w:b/>
                <w:color w:val="FF0000"/>
                <w:sz w:val="20"/>
                <w:szCs w:val="20"/>
              </w:rPr>
            </w:pPr>
            <w:r w:rsidRPr="005D0BD6">
              <w:rPr>
                <w:rFonts w:cs="Arial"/>
                <w:b/>
                <w:color w:val="FF0000"/>
                <w:sz w:val="20"/>
                <w:szCs w:val="20"/>
              </w:rPr>
              <w:t>-3.8%</w:t>
            </w:r>
          </w:p>
        </w:tc>
      </w:tr>
      <w:tr w:rsidR="008C12D7" w:rsidRPr="00741634" w:rsidTr="007839A3">
        <w:trPr>
          <w:trHeight w:val="331"/>
        </w:trPr>
        <w:tc>
          <w:tcPr>
            <w:tcW w:w="3312" w:type="dxa"/>
            <w:tcBorders>
              <w:top w:val="single" w:sz="12" w:space="0" w:color="auto"/>
              <w:left w:val="single" w:sz="4" w:space="0" w:color="auto"/>
              <w:bottom w:val="single" w:sz="4" w:space="0" w:color="auto"/>
              <w:right w:val="single" w:sz="4" w:space="0" w:color="auto"/>
            </w:tcBorders>
            <w:shd w:val="clear" w:color="auto" w:fill="FFCCFF"/>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Total</w:t>
            </w:r>
            <w:r>
              <w:rPr>
                <w:rFonts w:ascii="Calibri" w:eastAsia="Times New Roman" w:hAnsi="Calibri" w:cs="Arial"/>
                <w:color w:val="000000"/>
                <w:sz w:val="20"/>
                <w:szCs w:val="20"/>
              </w:rPr>
              <w:t xml:space="preserve"> Duplicated Students</w:t>
            </w:r>
          </w:p>
        </w:tc>
        <w:tc>
          <w:tcPr>
            <w:tcW w:w="2592" w:type="dxa"/>
            <w:tcBorders>
              <w:top w:val="single" w:sz="12" w:space="0" w:color="auto"/>
              <w:left w:val="nil"/>
              <w:bottom w:val="single" w:sz="4" w:space="0" w:color="auto"/>
              <w:right w:val="single" w:sz="4" w:space="0" w:color="auto"/>
            </w:tcBorders>
            <w:shd w:val="clear" w:color="auto" w:fill="FFCCFF"/>
            <w:noWrap/>
            <w:vAlign w:val="center"/>
            <w:hideMark/>
          </w:tcPr>
          <w:p w:rsidR="008C12D7" w:rsidRPr="00741634" w:rsidRDefault="00F016F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Azusa Adult Education Center</w:t>
            </w:r>
          </w:p>
        </w:tc>
        <w:tc>
          <w:tcPr>
            <w:tcW w:w="1220" w:type="dxa"/>
            <w:tcBorders>
              <w:top w:val="single" w:sz="12"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1,938</w:t>
            </w:r>
          </w:p>
        </w:tc>
        <w:tc>
          <w:tcPr>
            <w:tcW w:w="1175" w:type="dxa"/>
            <w:tcBorders>
              <w:top w:val="single" w:sz="12"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2,047</w:t>
            </w:r>
          </w:p>
        </w:tc>
        <w:tc>
          <w:tcPr>
            <w:tcW w:w="1008" w:type="dxa"/>
            <w:tcBorders>
              <w:top w:val="single" w:sz="12"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sidRPr="008C12D7">
              <w:rPr>
                <w:rFonts w:cs="Arial"/>
                <w:color w:val="000000"/>
                <w:sz w:val="20"/>
                <w:szCs w:val="20"/>
              </w:rPr>
              <w:t>5.6%</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C12D7" w:rsidRDefault="008C12D7" w:rsidP="005D0BD6">
            <w:pPr>
              <w:spacing w:after="0"/>
            </w:pPr>
            <w:r w:rsidRPr="004C7BF9">
              <w:rPr>
                <w:rFonts w:ascii="Calibri" w:eastAsia="Times New Roman" w:hAnsi="Calibri" w:cs="Arial"/>
                <w:color w:val="000000"/>
                <w:sz w:val="20"/>
                <w:szCs w:val="20"/>
              </w:rPr>
              <w:t>Total Duplicated Students</w:t>
            </w:r>
          </w:p>
        </w:tc>
        <w:tc>
          <w:tcPr>
            <w:tcW w:w="2592"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Claremont Adult School</w:t>
            </w:r>
          </w:p>
        </w:tc>
        <w:tc>
          <w:tcPr>
            <w:tcW w:w="12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564</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853</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sidRPr="008C12D7">
              <w:rPr>
                <w:rFonts w:cs="Arial"/>
                <w:color w:val="000000"/>
                <w:sz w:val="20"/>
                <w:szCs w:val="20"/>
              </w:rPr>
              <w:t>51.2%</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C12D7" w:rsidRDefault="008C12D7" w:rsidP="005D0BD6">
            <w:pPr>
              <w:spacing w:after="0"/>
            </w:pPr>
            <w:r w:rsidRPr="004C7BF9">
              <w:rPr>
                <w:rFonts w:ascii="Calibri" w:eastAsia="Times New Roman" w:hAnsi="Calibri" w:cs="Arial"/>
                <w:color w:val="000000"/>
                <w:sz w:val="20"/>
                <w:szCs w:val="20"/>
              </w:rPr>
              <w:t>Total Duplicated Students</w:t>
            </w:r>
          </w:p>
        </w:tc>
        <w:tc>
          <w:tcPr>
            <w:tcW w:w="2592"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Glendora Adult School</w:t>
            </w:r>
          </w:p>
        </w:tc>
        <w:tc>
          <w:tcPr>
            <w:tcW w:w="12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143</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120</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-16.1%</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C12D7" w:rsidRDefault="008C12D7" w:rsidP="005D0BD6">
            <w:pPr>
              <w:spacing w:after="0"/>
            </w:pPr>
            <w:r w:rsidRPr="004C7BF9">
              <w:rPr>
                <w:rFonts w:ascii="Calibri" w:eastAsia="Times New Roman" w:hAnsi="Calibri" w:cs="Arial"/>
                <w:color w:val="000000"/>
                <w:sz w:val="20"/>
                <w:szCs w:val="20"/>
              </w:rPr>
              <w:t>Total Duplicated Students</w:t>
            </w:r>
          </w:p>
        </w:tc>
        <w:tc>
          <w:tcPr>
            <w:tcW w:w="2592" w:type="dxa"/>
            <w:tcBorders>
              <w:top w:val="single" w:sz="4" w:space="0" w:color="auto"/>
              <w:left w:val="nil"/>
              <w:bottom w:val="single" w:sz="4" w:space="0" w:color="auto"/>
              <w:right w:val="single" w:sz="4" w:space="0" w:color="auto"/>
            </w:tcBorders>
            <w:shd w:val="clear" w:color="auto" w:fill="CCFFCC"/>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Monrovia Adult School</w:t>
            </w:r>
          </w:p>
        </w:tc>
        <w:tc>
          <w:tcPr>
            <w:tcW w:w="12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2,063</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Pr>
                <w:rFonts w:eastAsia="Times New Roman" w:cs="Arial"/>
                <w:color w:val="000000"/>
                <w:sz w:val="20"/>
                <w:szCs w:val="20"/>
              </w:rPr>
              <w:t xml:space="preserve"> </w:t>
            </w:r>
            <w:r w:rsidRPr="00946B12">
              <w:rPr>
                <w:rFonts w:eastAsia="Times New Roman" w:cs="Arial"/>
                <w:color w:val="000000"/>
                <w:sz w:val="20"/>
                <w:szCs w:val="20"/>
              </w:rPr>
              <w:t>1,238</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-40.0%</w:t>
            </w:r>
          </w:p>
        </w:tc>
      </w:tr>
      <w:tr w:rsidR="008C12D7" w:rsidRPr="00741634" w:rsidTr="007839A3">
        <w:trPr>
          <w:trHeight w:val="331"/>
        </w:trPr>
        <w:tc>
          <w:tcPr>
            <w:tcW w:w="3312" w:type="dxa"/>
            <w:tcBorders>
              <w:top w:val="nil"/>
              <w:left w:val="single" w:sz="4" w:space="0" w:color="auto"/>
              <w:bottom w:val="single" w:sz="12" w:space="0" w:color="auto"/>
              <w:right w:val="single" w:sz="4" w:space="0" w:color="auto"/>
            </w:tcBorders>
            <w:shd w:val="clear" w:color="auto" w:fill="auto"/>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 </w:t>
            </w:r>
          </w:p>
        </w:tc>
        <w:tc>
          <w:tcPr>
            <w:tcW w:w="2592" w:type="dxa"/>
            <w:tcBorders>
              <w:top w:val="nil"/>
              <w:left w:val="nil"/>
              <w:bottom w:val="single" w:sz="12" w:space="0" w:color="auto"/>
              <w:right w:val="single" w:sz="4" w:space="0" w:color="auto"/>
            </w:tcBorders>
            <w:shd w:val="clear" w:color="auto" w:fill="auto"/>
            <w:noWrap/>
            <w:vAlign w:val="center"/>
            <w:hideMark/>
          </w:tcPr>
          <w:p w:rsidR="008C12D7" w:rsidRPr="005D0BD6" w:rsidRDefault="008C12D7" w:rsidP="008C12D7">
            <w:pPr>
              <w:spacing w:after="0" w:line="240" w:lineRule="auto"/>
              <w:jc w:val="right"/>
              <w:rPr>
                <w:rFonts w:ascii="Calibri" w:eastAsia="Times New Roman" w:hAnsi="Calibri" w:cs="Arial"/>
                <w:b/>
                <w:color w:val="000000"/>
                <w:sz w:val="20"/>
                <w:szCs w:val="20"/>
              </w:rPr>
            </w:pPr>
            <w:r w:rsidRPr="005D0BD6">
              <w:rPr>
                <w:rFonts w:ascii="Calibri" w:eastAsia="Times New Roman" w:hAnsi="Calibri" w:cs="Arial"/>
                <w:b/>
                <w:color w:val="000000"/>
                <w:sz w:val="20"/>
                <w:szCs w:val="20"/>
              </w:rPr>
              <w:t xml:space="preserve">Total </w:t>
            </w:r>
          </w:p>
        </w:tc>
        <w:tc>
          <w:tcPr>
            <w:tcW w:w="1220" w:type="dxa"/>
            <w:tcBorders>
              <w:top w:val="single" w:sz="4" w:space="0" w:color="auto"/>
              <w:left w:val="nil"/>
              <w:bottom w:val="single" w:sz="12" w:space="0" w:color="auto"/>
              <w:right w:val="single" w:sz="4" w:space="0" w:color="auto"/>
            </w:tcBorders>
            <w:shd w:val="clear" w:color="auto" w:fill="DEEAF6" w:themeFill="accent1" w:themeFillTint="33"/>
            <w:noWrap/>
            <w:vAlign w:val="center"/>
          </w:tcPr>
          <w:p w:rsidR="008C12D7" w:rsidRPr="005D0BD6" w:rsidRDefault="008C12D7" w:rsidP="008C12D7">
            <w:pPr>
              <w:spacing w:after="0" w:line="240" w:lineRule="auto"/>
              <w:jc w:val="right"/>
              <w:rPr>
                <w:rFonts w:eastAsia="Times New Roman" w:cs="Arial"/>
                <w:b/>
                <w:color w:val="000000"/>
                <w:sz w:val="20"/>
                <w:szCs w:val="20"/>
              </w:rPr>
            </w:pPr>
            <w:r w:rsidRPr="005D0BD6">
              <w:rPr>
                <w:rFonts w:eastAsia="Times New Roman" w:cs="Arial"/>
                <w:b/>
                <w:color w:val="000000"/>
                <w:sz w:val="20"/>
                <w:szCs w:val="20"/>
              </w:rPr>
              <w:t>4,708</w:t>
            </w:r>
          </w:p>
        </w:tc>
        <w:tc>
          <w:tcPr>
            <w:tcW w:w="1175" w:type="dxa"/>
            <w:tcBorders>
              <w:top w:val="single" w:sz="4" w:space="0" w:color="auto"/>
              <w:left w:val="nil"/>
              <w:bottom w:val="single" w:sz="12" w:space="0" w:color="auto"/>
              <w:right w:val="single" w:sz="4" w:space="0" w:color="auto"/>
            </w:tcBorders>
            <w:shd w:val="clear" w:color="auto" w:fill="66FF33"/>
            <w:vAlign w:val="center"/>
          </w:tcPr>
          <w:p w:rsidR="008C12D7" w:rsidRPr="005D0BD6" w:rsidRDefault="008C12D7" w:rsidP="008C12D7">
            <w:pPr>
              <w:spacing w:after="0" w:line="240" w:lineRule="auto"/>
              <w:jc w:val="right"/>
              <w:rPr>
                <w:rFonts w:eastAsia="Times New Roman" w:cs="Arial"/>
                <w:b/>
                <w:color w:val="000000"/>
                <w:sz w:val="20"/>
                <w:szCs w:val="20"/>
              </w:rPr>
            </w:pPr>
            <w:r w:rsidRPr="005D0BD6">
              <w:rPr>
                <w:rFonts w:eastAsia="Times New Roman" w:cs="Arial"/>
                <w:b/>
                <w:color w:val="000000"/>
                <w:sz w:val="20"/>
                <w:szCs w:val="20"/>
              </w:rPr>
              <w:t>4,258</w:t>
            </w:r>
          </w:p>
        </w:tc>
        <w:tc>
          <w:tcPr>
            <w:tcW w:w="1008" w:type="dxa"/>
            <w:tcBorders>
              <w:top w:val="single" w:sz="6" w:space="0" w:color="auto"/>
              <w:left w:val="nil"/>
              <w:bottom w:val="single" w:sz="12" w:space="0" w:color="auto"/>
              <w:right w:val="single" w:sz="4" w:space="0" w:color="auto"/>
            </w:tcBorders>
            <w:shd w:val="clear" w:color="auto" w:fill="auto"/>
            <w:vAlign w:val="center"/>
          </w:tcPr>
          <w:p w:rsidR="008C12D7" w:rsidRPr="005D0BD6" w:rsidRDefault="008C12D7" w:rsidP="008C12D7">
            <w:pPr>
              <w:spacing w:after="0"/>
              <w:jc w:val="right"/>
              <w:rPr>
                <w:rFonts w:cs="Arial"/>
                <w:b/>
                <w:color w:val="FF0000"/>
                <w:sz w:val="20"/>
                <w:szCs w:val="20"/>
              </w:rPr>
            </w:pPr>
            <w:r w:rsidRPr="005D0BD6">
              <w:rPr>
                <w:rFonts w:cs="Arial"/>
                <w:b/>
                <w:color w:val="FF0000"/>
                <w:sz w:val="20"/>
                <w:szCs w:val="20"/>
              </w:rPr>
              <w:t>-9.6%</w:t>
            </w:r>
          </w:p>
        </w:tc>
      </w:tr>
      <w:tr w:rsidR="008C12D7" w:rsidRPr="00741634" w:rsidTr="007839A3">
        <w:trPr>
          <w:trHeight w:val="331"/>
        </w:trPr>
        <w:tc>
          <w:tcPr>
            <w:tcW w:w="3312" w:type="dxa"/>
            <w:tcBorders>
              <w:top w:val="single" w:sz="12" w:space="0" w:color="auto"/>
              <w:left w:val="single" w:sz="4" w:space="0" w:color="auto"/>
              <w:bottom w:val="single" w:sz="4" w:space="0" w:color="auto"/>
              <w:right w:val="single" w:sz="4" w:space="0" w:color="auto"/>
            </w:tcBorders>
            <w:shd w:val="clear" w:color="auto" w:fill="FFCCFF"/>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Total Unduplicated Students</w:t>
            </w:r>
          </w:p>
        </w:tc>
        <w:tc>
          <w:tcPr>
            <w:tcW w:w="2592" w:type="dxa"/>
            <w:tcBorders>
              <w:top w:val="single" w:sz="12" w:space="0" w:color="auto"/>
              <w:left w:val="nil"/>
              <w:bottom w:val="single" w:sz="4" w:space="0" w:color="auto"/>
              <w:right w:val="single" w:sz="4" w:space="0" w:color="auto"/>
            </w:tcBorders>
            <w:shd w:val="clear" w:color="auto" w:fill="FFCCFF"/>
            <w:noWrap/>
            <w:vAlign w:val="center"/>
            <w:hideMark/>
          </w:tcPr>
          <w:p w:rsidR="008C12D7" w:rsidRPr="00741634" w:rsidRDefault="00F016F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Azusa Adult Education Center</w:t>
            </w:r>
          </w:p>
        </w:tc>
        <w:tc>
          <w:tcPr>
            <w:tcW w:w="1220" w:type="dxa"/>
            <w:tcBorders>
              <w:top w:val="single" w:sz="12"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990</w:t>
            </w:r>
          </w:p>
        </w:tc>
        <w:tc>
          <w:tcPr>
            <w:tcW w:w="1175" w:type="dxa"/>
            <w:tcBorders>
              <w:top w:val="single" w:sz="12"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942</w:t>
            </w:r>
          </w:p>
        </w:tc>
        <w:tc>
          <w:tcPr>
            <w:tcW w:w="1008" w:type="dxa"/>
            <w:tcBorders>
              <w:top w:val="single" w:sz="12"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-4.8%</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Total Unduplicated Students</w:t>
            </w:r>
          </w:p>
        </w:tc>
        <w:tc>
          <w:tcPr>
            <w:tcW w:w="2592"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Claremont Adult School</w:t>
            </w:r>
          </w:p>
        </w:tc>
        <w:tc>
          <w:tcPr>
            <w:tcW w:w="12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487</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641</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000000"/>
                <w:sz w:val="20"/>
                <w:szCs w:val="20"/>
              </w:rPr>
            </w:pPr>
            <w:r w:rsidRPr="008C12D7">
              <w:rPr>
                <w:rFonts w:cs="Arial"/>
                <w:color w:val="000000"/>
                <w:sz w:val="20"/>
                <w:szCs w:val="20"/>
              </w:rPr>
              <w:t>31.6%</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Total Unduplicated Students</w:t>
            </w:r>
          </w:p>
        </w:tc>
        <w:tc>
          <w:tcPr>
            <w:tcW w:w="2592"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Glendora Adult School</w:t>
            </w:r>
          </w:p>
        </w:tc>
        <w:tc>
          <w:tcPr>
            <w:tcW w:w="12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142</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120</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-15.5%</w:t>
            </w:r>
          </w:p>
        </w:tc>
      </w:tr>
      <w:tr w:rsidR="008C12D7" w:rsidRPr="00741634" w:rsidTr="007839A3">
        <w:trPr>
          <w:trHeight w:val="331"/>
        </w:trPr>
        <w:tc>
          <w:tcPr>
            <w:tcW w:w="33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Total Unduplicated Students</w:t>
            </w:r>
          </w:p>
        </w:tc>
        <w:tc>
          <w:tcPr>
            <w:tcW w:w="2592" w:type="dxa"/>
            <w:tcBorders>
              <w:top w:val="single" w:sz="4" w:space="0" w:color="auto"/>
              <w:left w:val="nil"/>
              <w:bottom w:val="single" w:sz="4" w:space="0" w:color="auto"/>
              <w:right w:val="single" w:sz="4" w:space="0" w:color="auto"/>
            </w:tcBorders>
            <w:shd w:val="clear" w:color="auto" w:fill="CCFFCC"/>
            <w:noWrap/>
            <w:vAlign w:val="center"/>
            <w:hideMark/>
          </w:tcPr>
          <w:p w:rsidR="008C12D7" w:rsidRPr="00741634" w:rsidRDefault="008C12D7" w:rsidP="008C12D7">
            <w:pPr>
              <w:spacing w:after="0" w:line="240" w:lineRule="auto"/>
              <w:rPr>
                <w:rFonts w:ascii="Calibri" w:eastAsia="Times New Roman" w:hAnsi="Calibri" w:cs="Arial"/>
                <w:color w:val="000000"/>
                <w:sz w:val="20"/>
                <w:szCs w:val="20"/>
              </w:rPr>
            </w:pPr>
            <w:r w:rsidRPr="00741634">
              <w:rPr>
                <w:rFonts w:ascii="Calibri" w:eastAsia="Times New Roman" w:hAnsi="Calibri" w:cs="Arial"/>
                <w:color w:val="000000"/>
                <w:sz w:val="20"/>
                <w:szCs w:val="20"/>
              </w:rPr>
              <w:t>Monrovia Adult School</w:t>
            </w:r>
          </w:p>
        </w:tc>
        <w:tc>
          <w:tcPr>
            <w:tcW w:w="12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8C12D7" w:rsidRDefault="008C12D7" w:rsidP="008C12D7">
            <w:pPr>
              <w:spacing w:after="0"/>
              <w:jc w:val="right"/>
              <w:rPr>
                <w:rFonts w:ascii="Calibri" w:hAnsi="Calibri" w:cs="Arial"/>
                <w:color w:val="000000"/>
                <w:sz w:val="20"/>
                <w:szCs w:val="20"/>
              </w:rPr>
            </w:pPr>
            <w:r>
              <w:rPr>
                <w:rFonts w:ascii="Calibri" w:hAnsi="Calibri" w:cs="Arial"/>
                <w:color w:val="000000"/>
                <w:sz w:val="20"/>
                <w:szCs w:val="20"/>
              </w:rPr>
              <w:t>1,280</w:t>
            </w:r>
          </w:p>
        </w:tc>
        <w:tc>
          <w:tcPr>
            <w:tcW w:w="1175" w:type="dxa"/>
            <w:tcBorders>
              <w:top w:val="single" w:sz="4" w:space="0" w:color="auto"/>
              <w:left w:val="nil"/>
              <w:bottom w:val="single" w:sz="4" w:space="0" w:color="auto"/>
              <w:right w:val="single" w:sz="4" w:space="0" w:color="auto"/>
            </w:tcBorders>
            <w:shd w:val="clear" w:color="auto" w:fill="66FF33"/>
            <w:vAlign w:val="center"/>
          </w:tcPr>
          <w:p w:rsidR="008C12D7" w:rsidRPr="00946B12" w:rsidRDefault="008C12D7" w:rsidP="008C12D7">
            <w:pPr>
              <w:spacing w:after="0" w:line="240" w:lineRule="auto"/>
              <w:jc w:val="right"/>
              <w:rPr>
                <w:rFonts w:eastAsia="Times New Roman" w:cs="Arial"/>
                <w:color w:val="000000"/>
                <w:sz w:val="20"/>
                <w:szCs w:val="20"/>
              </w:rPr>
            </w:pPr>
            <w:r w:rsidRPr="00946B12">
              <w:rPr>
                <w:rFonts w:eastAsia="Times New Roman" w:cs="Arial"/>
                <w:color w:val="000000"/>
                <w:sz w:val="20"/>
                <w:szCs w:val="20"/>
              </w:rPr>
              <w:t>869</w:t>
            </w:r>
          </w:p>
        </w:tc>
        <w:tc>
          <w:tcPr>
            <w:tcW w:w="1008" w:type="dxa"/>
            <w:tcBorders>
              <w:top w:val="single" w:sz="6" w:space="0" w:color="auto"/>
              <w:left w:val="nil"/>
              <w:bottom w:val="single" w:sz="6" w:space="0" w:color="auto"/>
              <w:right w:val="single" w:sz="4" w:space="0" w:color="auto"/>
            </w:tcBorders>
            <w:shd w:val="clear" w:color="auto" w:fill="auto"/>
            <w:vAlign w:val="center"/>
          </w:tcPr>
          <w:p w:rsidR="008C12D7" w:rsidRPr="008C12D7" w:rsidRDefault="008C12D7" w:rsidP="008C12D7">
            <w:pPr>
              <w:spacing w:after="0"/>
              <w:jc w:val="right"/>
              <w:rPr>
                <w:rFonts w:cs="Arial"/>
                <w:color w:val="FF0000"/>
                <w:sz w:val="20"/>
                <w:szCs w:val="20"/>
              </w:rPr>
            </w:pPr>
            <w:r w:rsidRPr="008C12D7">
              <w:rPr>
                <w:rFonts w:cs="Arial"/>
                <w:color w:val="FF0000"/>
                <w:sz w:val="20"/>
                <w:szCs w:val="20"/>
              </w:rPr>
              <w:t>-32.1%</w:t>
            </w:r>
          </w:p>
        </w:tc>
      </w:tr>
      <w:tr w:rsidR="008C12D7" w:rsidRPr="00741634" w:rsidTr="007839A3">
        <w:trPr>
          <w:trHeight w:val="331"/>
        </w:trPr>
        <w:tc>
          <w:tcPr>
            <w:tcW w:w="3312" w:type="dxa"/>
            <w:tcBorders>
              <w:top w:val="nil"/>
              <w:left w:val="single" w:sz="4" w:space="0" w:color="auto"/>
              <w:bottom w:val="single" w:sz="12" w:space="0" w:color="auto"/>
              <w:right w:val="single" w:sz="4" w:space="0" w:color="auto"/>
            </w:tcBorders>
            <w:shd w:val="clear" w:color="auto" w:fill="auto"/>
            <w:noWrap/>
            <w:vAlign w:val="bottom"/>
            <w:hideMark/>
          </w:tcPr>
          <w:p w:rsidR="008C12D7" w:rsidRPr="00741634" w:rsidRDefault="008C12D7" w:rsidP="008C12D7">
            <w:pPr>
              <w:spacing w:after="0" w:line="240" w:lineRule="auto"/>
              <w:rPr>
                <w:rFonts w:ascii="Arial" w:eastAsia="Times New Roman" w:hAnsi="Arial" w:cs="Arial"/>
                <w:color w:val="000000"/>
                <w:sz w:val="20"/>
                <w:szCs w:val="20"/>
              </w:rPr>
            </w:pPr>
            <w:r w:rsidRPr="00741634">
              <w:rPr>
                <w:rFonts w:ascii="Arial" w:eastAsia="Times New Roman" w:hAnsi="Arial" w:cs="Arial"/>
                <w:color w:val="000000"/>
                <w:sz w:val="20"/>
                <w:szCs w:val="20"/>
              </w:rPr>
              <w:t> </w:t>
            </w:r>
          </w:p>
        </w:tc>
        <w:tc>
          <w:tcPr>
            <w:tcW w:w="2592" w:type="dxa"/>
            <w:tcBorders>
              <w:top w:val="nil"/>
              <w:left w:val="nil"/>
              <w:bottom w:val="single" w:sz="12" w:space="0" w:color="auto"/>
              <w:right w:val="single" w:sz="4" w:space="0" w:color="auto"/>
            </w:tcBorders>
            <w:shd w:val="clear" w:color="auto" w:fill="auto"/>
            <w:noWrap/>
            <w:vAlign w:val="center"/>
            <w:hideMark/>
          </w:tcPr>
          <w:p w:rsidR="008C12D7" w:rsidRPr="005D0BD6" w:rsidRDefault="008C12D7" w:rsidP="008C12D7">
            <w:pPr>
              <w:spacing w:after="0" w:line="240" w:lineRule="auto"/>
              <w:jc w:val="right"/>
              <w:rPr>
                <w:rFonts w:ascii="Calibri" w:eastAsia="Times New Roman" w:hAnsi="Calibri" w:cs="Arial"/>
                <w:b/>
                <w:color w:val="000000"/>
                <w:sz w:val="20"/>
                <w:szCs w:val="20"/>
              </w:rPr>
            </w:pPr>
            <w:r w:rsidRPr="005D0BD6">
              <w:rPr>
                <w:rFonts w:ascii="Calibri" w:eastAsia="Times New Roman" w:hAnsi="Calibri" w:cs="Arial"/>
                <w:b/>
                <w:color w:val="000000"/>
                <w:sz w:val="20"/>
                <w:szCs w:val="20"/>
              </w:rPr>
              <w:t xml:space="preserve">Total </w:t>
            </w:r>
          </w:p>
        </w:tc>
        <w:tc>
          <w:tcPr>
            <w:tcW w:w="1220" w:type="dxa"/>
            <w:tcBorders>
              <w:top w:val="single" w:sz="4" w:space="0" w:color="auto"/>
              <w:left w:val="nil"/>
              <w:bottom w:val="single" w:sz="12" w:space="0" w:color="auto"/>
              <w:right w:val="single" w:sz="4" w:space="0" w:color="auto"/>
            </w:tcBorders>
            <w:shd w:val="clear" w:color="auto" w:fill="DEEAF6" w:themeFill="accent1" w:themeFillTint="33"/>
            <w:noWrap/>
            <w:vAlign w:val="center"/>
          </w:tcPr>
          <w:p w:rsidR="008C12D7" w:rsidRPr="005D0BD6" w:rsidRDefault="008C12D7" w:rsidP="008C12D7">
            <w:pPr>
              <w:spacing w:after="0"/>
              <w:jc w:val="right"/>
              <w:rPr>
                <w:rFonts w:ascii="Calibri" w:hAnsi="Calibri" w:cs="Arial"/>
                <w:b/>
                <w:color w:val="000000"/>
                <w:sz w:val="20"/>
                <w:szCs w:val="20"/>
              </w:rPr>
            </w:pPr>
            <w:r w:rsidRPr="005D0BD6">
              <w:rPr>
                <w:rFonts w:ascii="Calibri" w:hAnsi="Calibri" w:cs="Arial"/>
                <w:b/>
                <w:color w:val="000000"/>
                <w:sz w:val="20"/>
                <w:szCs w:val="20"/>
              </w:rPr>
              <w:t>2,899</w:t>
            </w:r>
          </w:p>
        </w:tc>
        <w:tc>
          <w:tcPr>
            <w:tcW w:w="1175" w:type="dxa"/>
            <w:tcBorders>
              <w:top w:val="single" w:sz="4" w:space="0" w:color="auto"/>
              <w:left w:val="nil"/>
              <w:bottom w:val="single" w:sz="12" w:space="0" w:color="auto"/>
              <w:right w:val="single" w:sz="4" w:space="0" w:color="auto"/>
            </w:tcBorders>
            <w:shd w:val="clear" w:color="auto" w:fill="66FF33"/>
            <w:vAlign w:val="center"/>
          </w:tcPr>
          <w:p w:rsidR="008C12D7" w:rsidRPr="005D0BD6" w:rsidRDefault="008C12D7" w:rsidP="008C12D7">
            <w:pPr>
              <w:spacing w:after="0" w:line="240" w:lineRule="auto"/>
              <w:jc w:val="right"/>
              <w:rPr>
                <w:rFonts w:eastAsia="Times New Roman" w:cs="Arial"/>
                <w:b/>
                <w:color w:val="000000"/>
                <w:sz w:val="20"/>
                <w:szCs w:val="20"/>
              </w:rPr>
            </w:pPr>
            <w:r w:rsidRPr="005D0BD6">
              <w:rPr>
                <w:rFonts w:eastAsia="Times New Roman" w:cs="Arial"/>
                <w:b/>
                <w:color w:val="000000"/>
                <w:sz w:val="20"/>
                <w:szCs w:val="20"/>
              </w:rPr>
              <w:t>2,572</w:t>
            </w:r>
          </w:p>
        </w:tc>
        <w:tc>
          <w:tcPr>
            <w:tcW w:w="1008" w:type="dxa"/>
            <w:tcBorders>
              <w:top w:val="single" w:sz="6" w:space="0" w:color="auto"/>
              <w:left w:val="nil"/>
              <w:bottom w:val="single" w:sz="12" w:space="0" w:color="auto"/>
              <w:right w:val="single" w:sz="4" w:space="0" w:color="auto"/>
            </w:tcBorders>
            <w:shd w:val="clear" w:color="auto" w:fill="auto"/>
            <w:vAlign w:val="center"/>
          </w:tcPr>
          <w:p w:rsidR="008C12D7" w:rsidRPr="005D0BD6" w:rsidRDefault="008C12D7" w:rsidP="008C12D7">
            <w:pPr>
              <w:spacing w:after="0"/>
              <w:jc w:val="right"/>
              <w:rPr>
                <w:rFonts w:cs="Arial"/>
                <w:b/>
                <w:color w:val="FF0000"/>
                <w:sz w:val="20"/>
                <w:szCs w:val="20"/>
              </w:rPr>
            </w:pPr>
            <w:r w:rsidRPr="005D0BD6">
              <w:rPr>
                <w:rFonts w:cs="Arial"/>
                <w:b/>
                <w:color w:val="FF0000"/>
                <w:sz w:val="20"/>
                <w:szCs w:val="20"/>
              </w:rPr>
              <w:t>-11.3%</w:t>
            </w:r>
          </w:p>
        </w:tc>
      </w:tr>
    </w:tbl>
    <w:p w:rsidR="007839A3" w:rsidRDefault="007839A3" w:rsidP="00ED2195">
      <w:pPr>
        <w:spacing w:before="120" w:after="120"/>
        <w:rPr>
          <w:rFonts w:cs="Times New Roman"/>
        </w:rPr>
      </w:pPr>
    </w:p>
    <w:p w:rsidR="006E4E61" w:rsidRDefault="006E4E61" w:rsidP="00ED2195">
      <w:pPr>
        <w:spacing w:before="120" w:after="120"/>
        <w:rPr>
          <w:rFonts w:cs="Times New Roman"/>
        </w:rPr>
      </w:pPr>
      <w:r>
        <w:rPr>
          <w:rFonts w:cs="Times New Roman"/>
        </w:rPr>
        <w:t>The region has a fairly vast amount of workforce programs and services for adults with which consortium members have begun to meaningfully align efforts and leverage resources to better serve the region’s adults. The institutions that provide these services are outlined as key partners in the next section.</w:t>
      </w:r>
    </w:p>
    <w:p w:rsidR="00AC4841" w:rsidRPr="004E305C" w:rsidRDefault="00AC4841" w:rsidP="006E4E61">
      <w:pPr>
        <w:pStyle w:val="Heading3"/>
        <w:spacing w:after="120"/>
        <w:rPr>
          <w:color w:val="0070C0"/>
        </w:rPr>
      </w:pPr>
      <w:bookmarkStart w:id="8" w:name="_Toc10804129"/>
      <w:r w:rsidRPr="004E305C">
        <w:rPr>
          <w:color w:val="0070C0"/>
        </w:rPr>
        <w:t>Key Partners</w:t>
      </w:r>
      <w:bookmarkEnd w:id="8"/>
    </w:p>
    <w:p w:rsidR="006E4E61" w:rsidRDefault="006E4E61" w:rsidP="00EB6491">
      <w:pPr>
        <w:spacing w:before="120" w:after="120"/>
        <w:rPr>
          <w:rFonts w:cs="Times New Roman"/>
        </w:rPr>
      </w:pPr>
      <w:r>
        <w:rPr>
          <w:rFonts w:cs="Times New Roman"/>
        </w:rPr>
        <w:t>Partnerships required by Title II WIOA regulations have not only led to a new influx of Title II funds into the region, but have led to an increase of leveraged Title I funds. T</w:t>
      </w:r>
      <w:r w:rsidR="00EB6491">
        <w:rPr>
          <w:rFonts w:cs="Times New Roman"/>
        </w:rPr>
        <w:t xml:space="preserve">he four WIOA Title II-funded K-12 members signed </w:t>
      </w:r>
      <w:r>
        <w:rPr>
          <w:rFonts w:cs="Times New Roman"/>
        </w:rPr>
        <w:t xml:space="preserve">an MOU </w:t>
      </w:r>
      <w:r w:rsidR="00EB6491">
        <w:rPr>
          <w:rFonts w:cs="Times New Roman"/>
        </w:rPr>
        <w:t>with the Los Angeles County Workforce Development Board</w:t>
      </w:r>
      <w:r w:rsidR="006B1C33">
        <w:rPr>
          <w:rFonts w:cs="Times New Roman"/>
        </w:rPr>
        <w:t xml:space="preserve"> and were heavily</w:t>
      </w:r>
      <w:r>
        <w:rPr>
          <w:rFonts w:cs="Times New Roman"/>
        </w:rPr>
        <w:t xml:space="preserve"> involved in the planning and plan revision process for the</w:t>
      </w:r>
      <w:r w:rsidR="006B1C33">
        <w:rPr>
          <w:rFonts w:cs="Times New Roman"/>
        </w:rPr>
        <w:t xml:space="preserve"> county. Two years Claremont completed a new</w:t>
      </w:r>
      <w:r>
        <w:rPr>
          <w:rFonts w:cs="Times New Roman"/>
        </w:rPr>
        <w:t xml:space="preserve"> WIOA </w:t>
      </w:r>
      <w:r w:rsidR="006B1C33">
        <w:rPr>
          <w:rFonts w:cs="Times New Roman"/>
        </w:rPr>
        <w:t xml:space="preserve">Title II </w:t>
      </w:r>
      <w:r>
        <w:rPr>
          <w:rFonts w:cs="Times New Roman"/>
        </w:rPr>
        <w:t>RFA</w:t>
      </w:r>
      <w:r w:rsidR="006B1C33">
        <w:rPr>
          <w:rFonts w:cs="Times New Roman"/>
        </w:rPr>
        <w:t>, became a new WIOA Title II provider,</w:t>
      </w:r>
      <w:r>
        <w:rPr>
          <w:rFonts w:cs="Times New Roman"/>
        </w:rPr>
        <w:t xml:space="preserve"> and earned an additional $140,000 per year in Title II funds for its adult school and the regional adults. </w:t>
      </w:r>
      <w:r w:rsidR="006B1C33">
        <w:rPr>
          <w:rFonts w:cs="Times New Roman"/>
        </w:rPr>
        <w:t xml:space="preserve">In addition to that success, </w:t>
      </w:r>
      <w:r>
        <w:rPr>
          <w:rFonts w:cs="Times New Roman"/>
        </w:rPr>
        <w:t xml:space="preserve">Monrovia frequently was in contact with LACO WDB upper management in continuous efforts to procure Title I funds for its programs. </w:t>
      </w:r>
      <w:r w:rsidR="00BC6E12">
        <w:rPr>
          <w:rFonts w:cs="Times New Roman"/>
        </w:rPr>
        <w:t>Last year t</w:t>
      </w:r>
      <w:r>
        <w:rPr>
          <w:rFonts w:cs="Times New Roman"/>
        </w:rPr>
        <w:t>he school hosted a forum with County Supervisor Kathryn Barger’s office that was attended by local WDB stakeholder</w:t>
      </w:r>
      <w:r w:rsidR="00BC6E12">
        <w:rPr>
          <w:rFonts w:cs="Times New Roman"/>
        </w:rPr>
        <w:t>s</w:t>
      </w:r>
      <w:r>
        <w:rPr>
          <w:rFonts w:cs="Times New Roman"/>
        </w:rPr>
        <w:t>, regional city council members</w:t>
      </w:r>
      <w:r w:rsidR="00BC6E12">
        <w:rPr>
          <w:rFonts w:cs="Times New Roman"/>
        </w:rPr>
        <w:t>, and adult education schools. The relationships started in that forum have continued to improve and will be a critical component of this plan.</w:t>
      </w:r>
    </w:p>
    <w:p w:rsidR="00EB6491" w:rsidRDefault="00BC6E12" w:rsidP="00EB6491">
      <w:pPr>
        <w:spacing w:before="120" w:after="120"/>
        <w:rPr>
          <w:rFonts w:cs="Times New Roman"/>
        </w:rPr>
      </w:pPr>
      <w:r>
        <w:rPr>
          <w:rFonts w:cs="Times New Roman"/>
        </w:rPr>
        <w:t>While members signed with LACO WDB</w:t>
      </w:r>
      <w:r w:rsidR="00EB6491">
        <w:rPr>
          <w:rFonts w:cs="Times New Roman"/>
        </w:rPr>
        <w:t xml:space="preserve">, the consortium also has strong ties to the smaller Foothill Workforce Development Board. Through the effort of Monrovia the consortium </w:t>
      </w:r>
      <w:r>
        <w:rPr>
          <w:rFonts w:cs="Times New Roman"/>
        </w:rPr>
        <w:t xml:space="preserve">also </w:t>
      </w:r>
      <w:r w:rsidR="00EB6491">
        <w:rPr>
          <w:rFonts w:cs="Times New Roman"/>
        </w:rPr>
        <w:t xml:space="preserve">has strong partnerships with five AJCCs in the immediate regional footprint and three other AJCCs located outside </w:t>
      </w:r>
      <w:r w:rsidR="00EB6491">
        <w:rPr>
          <w:rFonts w:cs="Times New Roman"/>
        </w:rPr>
        <w:lastRenderedPageBreak/>
        <w:t>of the region. Monrovia has also utilized another half-dozen AJCCs and the Verdugo WDB in obtaining Title I funding for its students and those partnerships will benefit all CTE providers in the consortium.</w:t>
      </w:r>
      <w:r>
        <w:rPr>
          <w:rFonts w:cs="Times New Roman"/>
        </w:rPr>
        <w:t xml:space="preserve"> The partnerships with the County Supervisor’s office, LACO WDB, Foothill WDB, and numerous AJCCs led to an increase of $250,000 in Title I funding for Monrovia. Monrovia is sharing that expertise with the other two CTE providers and because of that, the consortium is projecting to bring in $550,000 of Title I funds as is noted in Table 2.</w:t>
      </w:r>
    </w:p>
    <w:p w:rsidR="00AB5FF1" w:rsidRDefault="00BC6E12" w:rsidP="00EB6491">
      <w:pPr>
        <w:spacing w:before="120" w:after="120"/>
        <w:rPr>
          <w:rFonts w:cs="Times New Roman"/>
        </w:rPr>
      </w:pPr>
      <w:r>
        <w:rPr>
          <w:rFonts w:cs="Times New Roman"/>
        </w:rPr>
        <w:t xml:space="preserve">In addition to the Workforce Development system, consortium members are serving </w:t>
      </w:r>
      <w:r w:rsidR="00AB5FF1">
        <w:rPr>
          <w:rFonts w:cs="Times New Roman"/>
        </w:rPr>
        <w:t xml:space="preserve">CalWorks, </w:t>
      </w:r>
      <w:r>
        <w:rPr>
          <w:rFonts w:cs="Times New Roman"/>
        </w:rPr>
        <w:t>GAIN</w:t>
      </w:r>
      <w:r w:rsidR="00AB5FF1">
        <w:rPr>
          <w:rFonts w:cs="Times New Roman"/>
        </w:rPr>
        <w:t>,</w:t>
      </w:r>
      <w:r>
        <w:rPr>
          <w:rFonts w:cs="Times New Roman"/>
        </w:rPr>
        <w:t xml:space="preserve"> and Department of Rehab clients and receiving funds to do so.</w:t>
      </w:r>
      <w:r w:rsidR="00741E3B">
        <w:rPr>
          <w:rFonts w:cs="Times New Roman"/>
        </w:rPr>
        <w:t xml:space="preserve"> </w:t>
      </w:r>
    </w:p>
    <w:p w:rsidR="00BC6E12" w:rsidRDefault="00BC6E12" w:rsidP="00EB6491">
      <w:pPr>
        <w:spacing w:before="120" w:after="120"/>
        <w:rPr>
          <w:rFonts w:cs="Times New Roman"/>
        </w:rPr>
      </w:pPr>
      <w:r>
        <w:rPr>
          <w:rFonts w:cs="Times New Roman"/>
        </w:rPr>
        <w:t xml:space="preserve">The consortium has a strong network of medical businesses that provide internship and externship opportunities for the students in its CTE Medical programs. Major pharmacies for Pharmacy Tech internships include CVS, Walgreens, and Premier Pharmacy. </w:t>
      </w:r>
      <w:r w:rsidR="00741E3B">
        <w:rPr>
          <w:rFonts w:cs="Times New Roman"/>
        </w:rPr>
        <w:t>The consortium has contracts with four skilled nursing facilities for its CNA programs. Numerous medical practices provide externships for Medical Assisting externships. The consortium will be reaching out to all of these partners as well as larger providers like City of Hope and Huntington Hospital to create a meaningful Medical Advisory Board. CCAEC ESL students benefit from a large patchwork of organizations that provide advocacy and naturalization services and offer acculturative experiences. All of these key partners are detailed in Table 1. Regional Service Providers.</w:t>
      </w:r>
    </w:p>
    <w:p w:rsidR="00AC4841" w:rsidRPr="004E305C" w:rsidRDefault="00BB3048" w:rsidP="006E4E61">
      <w:pPr>
        <w:pStyle w:val="Heading3"/>
        <w:spacing w:after="120"/>
        <w:rPr>
          <w:color w:val="0070C0"/>
        </w:rPr>
      </w:pPr>
      <w:bookmarkStart w:id="9" w:name="_Toc10804130"/>
      <w:r w:rsidRPr="004E305C">
        <w:rPr>
          <w:color w:val="0070C0"/>
        </w:rPr>
        <w:t>Alignment of Services</w:t>
      </w:r>
      <w:bookmarkEnd w:id="9"/>
    </w:p>
    <w:p w:rsidR="00AC4841" w:rsidRDefault="00741E3B">
      <w:r>
        <w:t>As was previously mentioned, the primary method of alignment pursued by CCAEC members was the regional plan and revision process for Los Angeles County WDB. Not only did CCAEC member institutions sign the MOU with the county, member administrators took part in numerous forums to give input to the plan. Also, Monrovia is a signatory on th</w:t>
      </w:r>
      <w:r w:rsidR="006B1C33">
        <w:t xml:space="preserve">e Foothill WDB MOU and this </w:t>
      </w:r>
      <w:r>
        <w:t>aligned funding efforts for reside</w:t>
      </w:r>
      <w:r w:rsidR="006B1C33">
        <w:t xml:space="preserve">nts in its footprint that want </w:t>
      </w:r>
      <w:r>
        <w:t>CTE training. These partnerships are a critical component of the Regional Employment Training Plan (RETP) that is addressed in section 2.4</w:t>
      </w:r>
    </w:p>
    <w:p w:rsidR="00BB3048" w:rsidRDefault="00BB3048"/>
    <w:p w:rsidR="00BB3048" w:rsidRDefault="00BB3048"/>
    <w:p w:rsidR="00AC4841" w:rsidRPr="00BA13B7" w:rsidRDefault="00AC4841">
      <w:pPr>
        <w:sectPr w:rsidR="00AC4841" w:rsidRPr="00BA13B7" w:rsidSect="00C73978">
          <w:pgSz w:w="12240" w:h="15840"/>
          <w:pgMar w:top="1800" w:right="1440" w:bottom="720" w:left="1440" w:header="720" w:footer="720" w:gutter="0"/>
          <w:pgNumType w:start="1"/>
          <w:cols w:space="720"/>
          <w:docGrid w:linePitch="360"/>
        </w:sectPr>
      </w:pPr>
    </w:p>
    <w:p w:rsidR="003C027C" w:rsidRPr="00BA13B7" w:rsidRDefault="003C027C" w:rsidP="003C027C">
      <w:pPr>
        <w:pStyle w:val="Heading3"/>
        <w:rPr>
          <w:rFonts w:asciiTheme="minorHAnsi" w:hAnsiTheme="minorHAnsi"/>
        </w:rPr>
      </w:pPr>
    </w:p>
    <w:p w:rsidR="004F0F7A" w:rsidRPr="00BA13B7" w:rsidRDefault="003C027C" w:rsidP="003C027C">
      <w:pPr>
        <w:pStyle w:val="Heading3"/>
        <w:spacing w:before="0" w:after="60"/>
        <w:rPr>
          <w:rFonts w:asciiTheme="minorHAnsi" w:hAnsiTheme="minorHAnsi"/>
        </w:rPr>
      </w:pPr>
      <w:bookmarkStart w:id="10" w:name="_Toc10804131"/>
      <w:r w:rsidRPr="00BA13B7">
        <w:rPr>
          <w:rFonts w:asciiTheme="minorHAnsi" w:hAnsiTheme="minorHAnsi"/>
        </w:rPr>
        <w:t>Table 1. Regional Service Providers</w:t>
      </w:r>
      <w:bookmarkEnd w:id="10"/>
    </w:p>
    <w:tbl>
      <w:tblPr>
        <w:tblStyle w:val="TableGrid"/>
        <w:tblW w:w="14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50"/>
        <w:gridCol w:w="2016"/>
        <w:gridCol w:w="2722"/>
        <w:gridCol w:w="504"/>
        <w:gridCol w:w="504"/>
        <w:gridCol w:w="503"/>
        <w:gridCol w:w="504"/>
        <w:gridCol w:w="559"/>
        <w:gridCol w:w="504"/>
        <w:gridCol w:w="503"/>
        <w:gridCol w:w="504"/>
        <w:gridCol w:w="2692"/>
      </w:tblGrid>
      <w:tr w:rsidR="00AD538F" w:rsidRPr="00BA13B7" w:rsidTr="008359A5">
        <w:trPr>
          <w:trHeight w:val="874"/>
          <w:tblHeader/>
        </w:trPr>
        <w:tc>
          <w:tcPr>
            <w:tcW w:w="3150" w:type="dxa"/>
            <w:vMerge w:val="restart"/>
            <w:shd w:val="clear" w:color="auto" w:fill="002060"/>
            <w:vAlign w:val="center"/>
          </w:tcPr>
          <w:p w:rsidR="00AD538F" w:rsidRPr="00BA13B7" w:rsidRDefault="00AD538F" w:rsidP="00AD538F">
            <w:pPr>
              <w:jc w:val="center"/>
              <w:rPr>
                <w:b/>
              </w:rPr>
            </w:pPr>
            <w:r w:rsidRPr="00BA13B7">
              <w:rPr>
                <w:b/>
              </w:rPr>
              <w:t>Provider Name</w:t>
            </w:r>
          </w:p>
        </w:tc>
        <w:tc>
          <w:tcPr>
            <w:tcW w:w="2016" w:type="dxa"/>
            <w:vMerge w:val="restart"/>
            <w:shd w:val="clear" w:color="auto" w:fill="002060"/>
            <w:vAlign w:val="center"/>
          </w:tcPr>
          <w:p w:rsidR="00AD538F" w:rsidRPr="00BA13B7" w:rsidRDefault="00AD538F" w:rsidP="00AD538F">
            <w:pPr>
              <w:jc w:val="center"/>
              <w:rPr>
                <w:b/>
              </w:rPr>
            </w:pPr>
            <w:r w:rsidRPr="00BA13B7">
              <w:rPr>
                <w:b/>
              </w:rPr>
              <w:t>Provider Type</w:t>
            </w:r>
          </w:p>
        </w:tc>
        <w:tc>
          <w:tcPr>
            <w:tcW w:w="2722" w:type="dxa"/>
            <w:vMerge w:val="restart"/>
            <w:shd w:val="clear" w:color="auto" w:fill="002060"/>
            <w:vAlign w:val="center"/>
          </w:tcPr>
          <w:p w:rsidR="00AD538F" w:rsidRPr="00BA13B7" w:rsidRDefault="00AD538F" w:rsidP="00AD538F">
            <w:pPr>
              <w:jc w:val="center"/>
              <w:rPr>
                <w:b/>
              </w:rPr>
            </w:pPr>
            <w:r w:rsidRPr="00BA13B7">
              <w:rPr>
                <w:b/>
              </w:rPr>
              <w:t>Address or location where AE services are provided</w:t>
            </w:r>
          </w:p>
        </w:tc>
        <w:tc>
          <w:tcPr>
            <w:tcW w:w="4085" w:type="dxa"/>
            <w:gridSpan w:val="8"/>
            <w:tcBorders>
              <w:bottom w:val="single" w:sz="4" w:space="0" w:color="808080" w:themeColor="background1" w:themeShade="80"/>
            </w:tcBorders>
            <w:shd w:val="clear" w:color="auto" w:fill="002060"/>
            <w:vAlign w:val="center"/>
          </w:tcPr>
          <w:p w:rsidR="00AD538F" w:rsidRPr="00BA13B7" w:rsidRDefault="00AD538F" w:rsidP="00AD538F">
            <w:pPr>
              <w:jc w:val="center"/>
              <w:rPr>
                <w:b/>
              </w:rPr>
            </w:pPr>
            <w:r w:rsidRPr="00BA13B7">
              <w:rPr>
                <w:b/>
              </w:rPr>
              <w:t>Program Areas</w:t>
            </w:r>
          </w:p>
        </w:tc>
        <w:tc>
          <w:tcPr>
            <w:tcW w:w="2692" w:type="dxa"/>
            <w:vMerge w:val="restart"/>
            <w:shd w:val="clear" w:color="auto" w:fill="002060"/>
            <w:vAlign w:val="center"/>
          </w:tcPr>
          <w:p w:rsidR="00AD538F" w:rsidRPr="00BA13B7" w:rsidRDefault="00AD538F" w:rsidP="00AD538F">
            <w:pPr>
              <w:jc w:val="center"/>
              <w:rPr>
                <w:b/>
              </w:rPr>
            </w:pPr>
            <w:r w:rsidRPr="00BA13B7">
              <w:rPr>
                <w:b/>
              </w:rPr>
              <w:t xml:space="preserve">If other, provide brief description of services </w:t>
            </w:r>
          </w:p>
        </w:tc>
      </w:tr>
      <w:tr w:rsidR="00AD538F" w:rsidRPr="00BA13B7" w:rsidTr="008359A5">
        <w:trPr>
          <w:trHeight w:val="259"/>
          <w:tblHeader/>
        </w:trPr>
        <w:tc>
          <w:tcPr>
            <w:tcW w:w="3150" w:type="dxa"/>
            <w:vMerge/>
            <w:tcBorders>
              <w:bottom w:val="single" w:sz="4" w:space="0" w:color="808080" w:themeColor="background1" w:themeShade="80"/>
            </w:tcBorders>
            <w:vAlign w:val="center"/>
          </w:tcPr>
          <w:p w:rsidR="00AD538F" w:rsidRPr="00BA13B7" w:rsidRDefault="00AD538F" w:rsidP="003C027C">
            <w:pPr>
              <w:rPr>
                <w:sz w:val="16"/>
              </w:rPr>
            </w:pPr>
          </w:p>
        </w:tc>
        <w:tc>
          <w:tcPr>
            <w:tcW w:w="2016" w:type="dxa"/>
            <w:vMerge/>
            <w:tcBorders>
              <w:bottom w:val="single" w:sz="4" w:space="0" w:color="808080" w:themeColor="background1" w:themeShade="80"/>
            </w:tcBorders>
            <w:vAlign w:val="center"/>
          </w:tcPr>
          <w:p w:rsidR="00AD538F" w:rsidRPr="00BA13B7" w:rsidRDefault="00AD538F" w:rsidP="003C027C">
            <w:pPr>
              <w:rPr>
                <w:sz w:val="16"/>
              </w:rPr>
            </w:pPr>
          </w:p>
        </w:tc>
        <w:tc>
          <w:tcPr>
            <w:tcW w:w="2722" w:type="dxa"/>
            <w:vMerge/>
            <w:tcBorders>
              <w:bottom w:val="single" w:sz="4" w:space="0" w:color="808080" w:themeColor="background1" w:themeShade="80"/>
            </w:tcBorders>
            <w:vAlign w:val="center"/>
          </w:tcPr>
          <w:p w:rsidR="00AD538F" w:rsidRPr="00BA13B7" w:rsidRDefault="00AD538F" w:rsidP="003C027C">
            <w:pPr>
              <w:rPr>
                <w:sz w:val="16"/>
              </w:rPr>
            </w:pPr>
          </w:p>
        </w:tc>
        <w:tc>
          <w:tcPr>
            <w:tcW w:w="504" w:type="dxa"/>
            <w:tcBorders>
              <w:bottom w:val="single" w:sz="4" w:space="0" w:color="808080" w:themeColor="background1" w:themeShade="80"/>
            </w:tcBorders>
            <w:shd w:val="clear" w:color="auto" w:fill="002060"/>
            <w:vAlign w:val="center"/>
          </w:tcPr>
          <w:p w:rsidR="00AD538F" w:rsidRPr="00BA13B7" w:rsidRDefault="00AD538F" w:rsidP="00AD538F">
            <w:pPr>
              <w:jc w:val="center"/>
              <w:rPr>
                <w:b/>
                <w:sz w:val="16"/>
                <w:szCs w:val="15"/>
              </w:rPr>
            </w:pPr>
            <w:r w:rsidRPr="00BA13B7">
              <w:rPr>
                <w:b/>
                <w:sz w:val="16"/>
                <w:szCs w:val="15"/>
              </w:rPr>
              <w:t>ABE</w:t>
            </w:r>
          </w:p>
        </w:tc>
        <w:tc>
          <w:tcPr>
            <w:tcW w:w="504" w:type="dxa"/>
            <w:tcBorders>
              <w:bottom w:val="single" w:sz="4" w:space="0" w:color="808080" w:themeColor="background1" w:themeShade="80"/>
            </w:tcBorders>
            <w:shd w:val="clear" w:color="auto" w:fill="002060"/>
            <w:vAlign w:val="center"/>
          </w:tcPr>
          <w:p w:rsidR="00AD538F" w:rsidRPr="00BA13B7" w:rsidRDefault="00AD538F" w:rsidP="00AD538F">
            <w:pPr>
              <w:jc w:val="center"/>
              <w:rPr>
                <w:b/>
                <w:sz w:val="16"/>
                <w:szCs w:val="15"/>
              </w:rPr>
            </w:pPr>
            <w:r w:rsidRPr="00BA13B7">
              <w:rPr>
                <w:b/>
                <w:sz w:val="16"/>
                <w:szCs w:val="15"/>
              </w:rPr>
              <w:t>ASE</w:t>
            </w:r>
          </w:p>
        </w:tc>
        <w:tc>
          <w:tcPr>
            <w:tcW w:w="503" w:type="dxa"/>
            <w:tcBorders>
              <w:bottom w:val="single" w:sz="4" w:space="0" w:color="808080" w:themeColor="background1" w:themeShade="80"/>
            </w:tcBorders>
            <w:shd w:val="clear" w:color="auto" w:fill="002060"/>
            <w:vAlign w:val="center"/>
          </w:tcPr>
          <w:p w:rsidR="00AD538F" w:rsidRPr="00BA13B7" w:rsidRDefault="00AD538F" w:rsidP="00AD538F">
            <w:pPr>
              <w:jc w:val="center"/>
              <w:rPr>
                <w:b/>
                <w:sz w:val="16"/>
                <w:szCs w:val="15"/>
              </w:rPr>
            </w:pPr>
            <w:r w:rsidRPr="00BA13B7">
              <w:rPr>
                <w:b/>
                <w:sz w:val="16"/>
                <w:szCs w:val="15"/>
              </w:rPr>
              <w:t>ESL</w:t>
            </w:r>
          </w:p>
        </w:tc>
        <w:tc>
          <w:tcPr>
            <w:tcW w:w="504" w:type="dxa"/>
            <w:tcBorders>
              <w:bottom w:val="single" w:sz="4" w:space="0" w:color="808080" w:themeColor="background1" w:themeShade="80"/>
            </w:tcBorders>
            <w:shd w:val="clear" w:color="auto" w:fill="002060"/>
            <w:vAlign w:val="center"/>
          </w:tcPr>
          <w:p w:rsidR="00AD538F" w:rsidRPr="00BA13B7" w:rsidRDefault="00AD538F" w:rsidP="00AD538F">
            <w:pPr>
              <w:rPr>
                <w:b/>
                <w:sz w:val="16"/>
                <w:szCs w:val="15"/>
              </w:rPr>
            </w:pPr>
            <w:r w:rsidRPr="00BA13B7">
              <w:rPr>
                <w:b/>
                <w:sz w:val="16"/>
                <w:szCs w:val="15"/>
              </w:rPr>
              <w:t>CTE</w:t>
            </w:r>
          </w:p>
        </w:tc>
        <w:tc>
          <w:tcPr>
            <w:tcW w:w="559" w:type="dxa"/>
            <w:tcBorders>
              <w:bottom w:val="single" w:sz="4" w:space="0" w:color="808080" w:themeColor="background1" w:themeShade="80"/>
            </w:tcBorders>
            <w:shd w:val="clear" w:color="auto" w:fill="002060"/>
            <w:vAlign w:val="center"/>
          </w:tcPr>
          <w:p w:rsidR="00AD538F" w:rsidRPr="00BA13B7" w:rsidRDefault="00AD538F" w:rsidP="00AD538F">
            <w:pPr>
              <w:jc w:val="center"/>
              <w:rPr>
                <w:b/>
                <w:sz w:val="16"/>
                <w:szCs w:val="15"/>
              </w:rPr>
            </w:pPr>
            <w:r w:rsidRPr="00BA13B7">
              <w:rPr>
                <w:b/>
                <w:sz w:val="16"/>
                <w:szCs w:val="15"/>
              </w:rPr>
              <w:t>AWD</w:t>
            </w:r>
          </w:p>
        </w:tc>
        <w:tc>
          <w:tcPr>
            <w:tcW w:w="504" w:type="dxa"/>
            <w:tcBorders>
              <w:bottom w:val="single" w:sz="4" w:space="0" w:color="808080" w:themeColor="background1" w:themeShade="80"/>
            </w:tcBorders>
            <w:shd w:val="clear" w:color="auto" w:fill="002060"/>
            <w:vAlign w:val="center"/>
          </w:tcPr>
          <w:p w:rsidR="00AD538F" w:rsidRPr="00BA13B7" w:rsidRDefault="00AD538F" w:rsidP="00AD538F">
            <w:pPr>
              <w:jc w:val="center"/>
              <w:rPr>
                <w:b/>
                <w:sz w:val="16"/>
                <w:szCs w:val="15"/>
              </w:rPr>
            </w:pPr>
            <w:r w:rsidRPr="00BA13B7">
              <w:rPr>
                <w:b/>
                <w:sz w:val="16"/>
                <w:szCs w:val="15"/>
              </w:rPr>
              <w:t>WR</w:t>
            </w:r>
          </w:p>
        </w:tc>
        <w:tc>
          <w:tcPr>
            <w:tcW w:w="503" w:type="dxa"/>
            <w:tcBorders>
              <w:bottom w:val="single" w:sz="4" w:space="0" w:color="808080" w:themeColor="background1" w:themeShade="80"/>
            </w:tcBorders>
            <w:shd w:val="clear" w:color="auto" w:fill="002060"/>
            <w:vAlign w:val="center"/>
          </w:tcPr>
          <w:p w:rsidR="00AD538F" w:rsidRPr="00BA13B7" w:rsidRDefault="00AD538F" w:rsidP="00AD538F">
            <w:pPr>
              <w:jc w:val="center"/>
              <w:rPr>
                <w:b/>
                <w:sz w:val="16"/>
                <w:szCs w:val="15"/>
              </w:rPr>
            </w:pPr>
            <w:r w:rsidRPr="00BA13B7">
              <w:rPr>
                <w:b/>
                <w:sz w:val="16"/>
                <w:szCs w:val="15"/>
              </w:rPr>
              <w:t>PA</w:t>
            </w:r>
          </w:p>
        </w:tc>
        <w:tc>
          <w:tcPr>
            <w:tcW w:w="504" w:type="dxa"/>
            <w:tcBorders>
              <w:bottom w:val="single" w:sz="4" w:space="0" w:color="808080" w:themeColor="background1" w:themeShade="80"/>
            </w:tcBorders>
            <w:shd w:val="clear" w:color="auto" w:fill="002060"/>
            <w:vAlign w:val="center"/>
          </w:tcPr>
          <w:p w:rsidR="00AD538F" w:rsidRPr="00BA13B7" w:rsidRDefault="00AD538F" w:rsidP="00AD538F">
            <w:pPr>
              <w:jc w:val="center"/>
              <w:rPr>
                <w:b/>
                <w:sz w:val="16"/>
                <w:szCs w:val="15"/>
              </w:rPr>
            </w:pPr>
            <w:r w:rsidRPr="00BA13B7">
              <w:rPr>
                <w:b/>
                <w:sz w:val="16"/>
                <w:szCs w:val="15"/>
              </w:rPr>
              <w:t>ACS</w:t>
            </w:r>
          </w:p>
        </w:tc>
        <w:tc>
          <w:tcPr>
            <w:tcW w:w="2692" w:type="dxa"/>
            <w:vMerge/>
            <w:tcBorders>
              <w:bottom w:val="single" w:sz="4" w:space="0" w:color="808080" w:themeColor="background1" w:themeShade="80"/>
            </w:tcBorders>
            <w:vAlign w:val="center"/>
          </w:tcPr>
          <w:p w:rsidR="00AD538F" w:rsidRPr="00BA13B7" w:rsidRDefault="00AD538F" w:rsidP="003C027C">
            <w:pPr>
              <w:rPr>
                <w:sz w:val="16"/>
              </w:rPr>
            </w:pPr>
          </w:p>
        </w:tc>
      </w:tr>
      <w:tr w:rsidR="0049081E" w:rsidRPr="00BA13B7" w:rsidTr="008359A5">
        <w:trPr>
          <w:trHeight w:val="720"/>
          <w:tblHeader/>
        </w:trPr>
        <w:tc>
          <w:tcPr>
            <w:tcW w:w="3150" w:type="dxa"/>
            <w:shd w:val="clear" w:color="auto" w:fill="BDD6EE" w:themeFill="accent1" w:themeFillTint="66"/>
            <w:vAlign w:val="center"/>
          </w:tcPr>
          <w:p w:rsidR="0049081E" w:rsidRPr="00BA13B7" w:rsidRDefault="0049081E" w:rsidP="0049081E">
            <w:pPr>
              <w:rPr>
                <w:i/>
                <w:sz w:val="18"/>
                <w:szCs w:val="18"/>
              </w:rPr>
            </w:pPr>
            <w:r w:rsidRPr="00BA13B7">
              <w:rPr>
                <w:i/>
                <w:sz w:val="18"/>
                <w:szCs w:val="18"/>
              </w:rPr>
              <w:t>XYZ Agency</w:t>
            </w:r>
          </w:p>
        </w:tc>
        <w:tc>
          <w:tcPr>
            <w:tcW w:w="2016" w:type="dxa"/>
            <w:shd w:val="clear" w:color="auto" w:fill="BDD6EE" w:themeFill="accent1" w:themeFillTint="66"/>
            <w:vAlign w:val="center"/>
          </w:tcPr>
          <w:p w:rsidR="0049081E" w:rsidRPr="00BA13B7" w:rsidRDefault="0049081E" w:rsidP="0049081E">
            <w:pPr>
              <w:rPr>
                <w:i/>
                <w:sz w:val="18"/>
                <w:szCs w:val="18"/>
              </w:rPr>
            </w:pPr>
            <w:r w:rsidRPr="00BA13B7">
              <w:rPr>
                <w:i/>
                <w:sz w:val="18"/>
                <w:szCs w:val="18"/>
              </w:rPr>
              <w:t>Business / Industry</w:t>
            </w:r>
          </w:p>
        </w:tc>
        <w:tc>
          <w:tcPr>
            <w:tcW w:w="2722" w:type="dxa"/>
            <w:shd w:val="clear" w:color="auto" w:fill="BDD6EE" w:themeFill="accent1" w:themeFillTint="66"/>
            <w:vAlign w:val="center"/>
          </w:tcPr>
          <w:p w:rsidR="0049081E" w:rsidRPr="00BA13B7" w:rsidRDefault="0049081E" w:rsidP="0049081E">
            <w:pPr>
              <w:rPr>
                <w:i/>
                <w:sz w:val="18"/>
                <w:szCs w:val="18"/>
              </w:rPr>
            </w:pPr>
            <w:r w:rsidRPr="00BA13B7">
              <w:rPr>
                <w:i/>
                <w:sz w:val="18"/>
                <w:szCs w:val="18"/>
              </w:rPr>
              <w:t>555 Adult Education Lane, Los Angeles, CA 90001</w:t>
            </w:r>
          </w:p>
        </w:tc>
        <w:tc>
          <w:tcPr>
            <w:tcW w:w="504" w:type="dxa"/>
            <w:shd w:val="clear" w:color="auto" w:fill="BDD6EE" w:themeFill="accent1" w:themeFillTint="66"/>
            <w:vAlign w:val="center"/>
          </w:tcPr>
          <w:p w:rsidR="0049081E" w:rsidRPr="00BA13B7" w:rsidRDefault="0049081E" w:rsidP="0049081E">
            <w:pPr>
              <w:jc w:val="center"/>
              <w:rPr>
                <w:i/>
                <w:sz w:val="18"/>
                <w:szCs w:val="18"/>
              </w:rPr>
            </w:pPr>
            <w:r w:rsidRPr="00BA13B7">
              <w:rPr>
                <w:i/>
                <w:sz w:val="18"/>
                <w:szCs w:val="18"/>
              </w:rPr>
              <w:t>X</w:t>
            </w:r>
          </w:p>
        </w:tc>
        <w:tc>
          <w:tcPr>
            <w:tcW w:w="504" w:type="dxa"/>
            <w:shd w:val="clear" w:color="auto" w:fill="BDD6EE" w:themeFill="accent1" w:themeFillTint="66"/>
            <w:vAlign w:val="center"/>
          </w:tcPr>
          <w:p w:rsidR="0049081E" w:rsidRPr="00BA13B7" w:rsidRDefault="0049081E" w:rsidP="0049081E">
            <w:pPr>
              <w:jc w:val="center"/>
              <w:rPr>
                <w:i/>
                <w:sz w:val="18"/>
                <w:szCs w:val="18"/>
              </w:rPr>
            </w:pPr>
            <w:r w:rsidRPr="00BA13B7">
              <w:rPr>
                <w:i/>
                <w:sz w:val="18"/>
                <w:szCs w:val="18"/>
              </w:rPr>
              <w:t>X</w:t>
            </w:r>
          </w:p>
        </w:tc>
        <w:tc>
          <w:tcPr>
            <w:tcW w:w="503" w:type="dxa"/>
            <w:shd w:val="clear" w:color="auto" w:fill="BDD6EE" w:themeFill="accent1" w:themeFillTint="66"/>
            <w:vAlign w:val="center"/>
          </w:tcPr>
          <w:p w:rsidR="0049081E" w:rsidRPr="00BA13B7" w:rsidRDefault="0049081E" w:rsidP="0049081E">
            <w:pPr>
              <w:jc w:val="center"/>
              <w:rPr>
                <w:i/>
                <w:sz w:val="18"/>
                <w:szCs w:val="18"/>
              </w:rPr>
            </w:pPr>
            <w:r w:rsidRPr="00BA13B7">
              <w:rPr>
                <w:i/>
                <w:sz w:val="18"/>
                <w:szCs w:val="18"/>
              </w:rPr>
              <w:t>X</w:t>
            </w:r>
          </w:p>
        </w:tc>
        <w:tc>
          <w:tcPr>
            <w:tcW w:w="504" w:type="dxa"/>
            <w:shd w:val="clear" w:color="auto" w:fill="BDD6EE" w:themeFill="accent1" w:themeFillTint="66"/>
            <w:vAlign w:val="center"/>
          </w:tcPr>
          <w:p w:rsidR="0049081E" w:rsidRPr="00BA13B7" w:rsidRDefault="0049081E" w:rsidP="0049081E">
            <w:pPr>
              <w:jc w:val="center"/>
              <w:rPr>
                <w:i/>
                <w:sz w:val="18"/>
                <w:szCs w:val="18"/>
              </w:rPr>
            </w:pPr>
            <w:r w:rsidRPr="00BA13B7">
              <w:rPr>
                <w:i/>
                <w:sz w:val="18"/>
                <w:szCs w:val="18"/>
              </w:rPr>
              <w:t>X</w:t>
            </w:r>
          </w:p>
        </w:tc>
        <w:tc>
          <w:tcPr>
            <w:tcW w:w="559" w:type="dxa"/>
            <w:shd w:val="clear" w:color="auto" w:fill="BDD6EE" w:themeFill="accent1" w:themeFillTint="66"/>
            <w:vAlign w:val="center"/>
          </w:tcPr>
          <w:p w:rsidR="0049081E" w:rsidRPr="00BA13B7" w:rsidRDefault="0049081E" w:rsidP="0049081E">
            <w:pPr>
              <w:jc w:val="center"/>
              <w:rPr>
                <w:i/>
                <w:sz w:val="18"/>
                <w:szCs w:val="18"/>
              </w:rPr>
            </w:pPr>
            <w:r w:rsidRPr="00BA13B7">
              <w:rPr>
                <w:i/>
                <w:sz w:val="18"/>
                <w:szCs w:val="18"/>
              </w:rPr>
              <w:t>X</w:t>
            </w:r>
          </w:p>
        </w:tc>
        <w:tc>
          <w:tcPr>
            <w:tcW w:w="504" w:type="dxa"/>
            <w:shd w:val="clear" w:color="auto" w:fill="BDD6EE" w:themeFill="accent1" w:themeFillTint="66"/>
            <w:vAlign w:val="center"/>
          </w:tcPr>
          <w:p w:rsidR="0049081E" w:rsidRPr="00BA13B7" w:rsidRDefault="0049081E" w:rsidP="0049081E">
            <w:pPr>
              <w:jc w:val="center"/>
              <w:rPr>
                <w:i/>
                <w:sz w:val="18"/>
                <w:szCs w:val="18"/>
              </w:rPr>
            </w:pPr>
            <w:r w:rsidRPr="00BA13B7">
              <w:rPr>
                <w:i/>
                <w:sz w:val="18"/>
                <w:szCs w:val="18"/>
              </w:rPr>
              <w:t>X</w:t>
            </w:r>
          </w:p>
        </w:tc>
        <w:tc>
          <w:tcPr>
            <w:tcW w:w="503" w:type="dxa"/>
            <w:shd w:val="clear" w:color="auto" w:fill="BDD6EE" w:themeFill="accent1" w:themeFillTint="66"/>
            <w:vAlign w:val="center"/>
          </w:tcPr>
          <w:p w:rsidR="0049081E" w:rsidRPr="00BA13B7" w:rsidRDefault="0049081E" w:rsidP="0049081E">
            <w:pPr>
              <w:jc w:val="center"/>
              <w:rPr>
                <w:i/>
                <w:sz w:val="18"/>
                <w:szCs w:val="18"/>
              </w:rPr>
            </w:pPr>
            <w:r w:rsidRPr="00BA13B7">
              <w:rPr>
                <w:i/>
                <w:sz w:val="18"/>
                <w:szCs w:val="18"/>
              </w:rPr>
              <w:t>X</w:t>
            </w:r>
          </w:p>
        </w:tc>
        <w:tc>
          <w:tcPr>
            <w:tcW w:w="504" w:type="dxa"/>
            <w:shd w:val="clear" w:color="auto" w:fill="BDD6EE" w:themeFill="accent1" w:themeFillTint="66"/>
            <w:vAlign w:val="center"/>
          </w:tcPr>
          <w:p w:rsidR="0049081E" w:rsidRPr="00BA13B7" w:rsidRDefault="0049081E" w:rsidP="0049081E">
            <w:pPr>
              <w:jc w:val="center"/>
              <w:rPr>
                <w:i/>
                <w:sz w:val="18"/>
                <w:szCs w:val="18"/>
              </w:rPr>
            </w:pPr>
            <w:r w:rsidRPr="00BA13B7">
              <w:rPr>
                <w:i/>
                <w:sz w:val="18"/>
                <w:szCs w:val="18"/>
              </w:rPr>
              <w:t>X</w:t>
            </w:r>
          </w:p>
        </w:tc>
        <w:tc>
          <w:tcPr>
            <w:tcW w:w="2692" w:type="dxa"/>
            <w:shd w:val="clear" w:color="auto" w:fill="BDD6EE" w:themeFill="accent1" w:themeFillTint="66"/>
            <w:vAlign w:val="center"/>
          </w:tcPr>
          <w:p w:rsidR="0049081E" w:rsidRPr="00BA13B7" w:rsidRDefault="0049081E" w:rsidP="0049081E">
            <w:pPr>
              <w:rPr>
                <w:i/>
                <w:sz w:val="18"/>
                <w:szCs w:val="18"/>
              </w:rPr>
            </w:pPr>
            <w:r w:rsidRPr="00BA13B7">
              <w:rPr>
                <w:i/>
                <w:sz w:val="16"/>
                <w:szCs w:val="18"/>
              </w:rPr>
              <w:t>XYX Agency provides opportunities for students in Manufacturing Bridge Courses to Job Shadow</w:t>
            </w:r>
          </w:p>
        </w:tc>
      </w:tr>
      <w:tr w:rsidR="00AD538F" w:rsidRPr="00BA13B7" w:rsidTr="00023F3C">
        <w:trPr>
          <w:trHeight w:val="432"/>
        </w:trPr>
        <w:tc>
          <w:tcPr>
            <w:tcW w:w="3150" w:type="dxa"/>
            <w:vAlign w:val="center"/>
          </w:tcPr>
          <w:p w:rsidR="00ED5D93" w:rsidRPr="00BA13B7" w:rsidRDefault="00ED5D93" w:rsidP="007D0EB0">
            <w:r w:rsidRPr="00BA13B7">
              <w:t>Los Angeles County W</w:t>
            </w:r>
            <w:r w:rsidR="00AB6D1E">
              <w:t xml:space="preserve">orkforce Development </w:t>
            </w:r>
            <w:r w:rsidRPr="00BA13B7">
              <w:t>B</w:t>
            </w:r>
            <w:r w:rsidR="00AB6D1E">
              <w:t>oard</w:t>
            </w:r>
          </w:p>
        </w:tc>
        <w:tc>
          <w:tcPr>
            <w:tcW w:w="2016" w:type="dxa"/>
            <w:vAlign w:val="center"/>
          </w:tcPr>
          <w:p w:rsidR="00AD538F" w:rsidRPr="00BA13B7" w:rsidRDefault="0080717A" w:rsidP="003C027C">
            <w:r w:rsidRPr="00BA13B7">
              <w:t>Workforce Board</w:t>
            </w:r>
          </w:p>
        </w:tc>
        <w:tc>
          <w:tcPr>
            <w:tcW w:w="2722" w:type="dxa"/>
            <w:vAlign w:val="center"/>
          </w:tcPr>
          <w:p w:rsidR="00AD538F" w:rsidRPr="00BA13B7" w:rsidRDefault="00AD538F" w:rsidP="00023F3C"/>
        </w:tc>
        <w:sdt>
          <w:sdtPr>
            <w:id w:val="15900224"/>
            <w14:checkbox>
              <w14:checked w14:val="0"/>
              <w14:checkedState w14:val="2612" w14:font="MS Gothic"/>
              <w14:uncheckedState w14:val="2610" w14:font="MS Gothic"/>
            </w14:checkbox>
          </w:sdtPr>
          <w:sdtEndPr/>
          <w:sdtContent>
            <w:tc>
              <w:tcPr>
                <w:tcW w:w="504" w:type="dxa"/>
                <w:vAlign w:val="center"/>
              </w:tcPr>
              <w:p w:rsidR="00AD538F" w:rsidRPr="00BA13B7" w:rsidRDefault="00DF629F" w:rsidP="0049081E">
                <w:pPr>
                  <w:jc w:val="center"/>
                </w:pPr>
                <w:r w:rsidRPr="00BA13B7">
                  <w:rPr>
                    <w:rFonts w:ascii="Segoe UI Symbol" w:eastAsia="MS Gothic" w:hAnsi="Segoe UI Symbol" w:cs="Segoe UI Symbol"/>
                  </w:rPr>
                  <w:t>☐</w:t>
                </w:r>
              </w:p>
            </w:tc>
          </w:sdtContent>
        </w:sdt>
        <w:sdt>
          <w:sdtPr>
            <w:id w:val="1689718878"/>
            <w14:checkbox>
              <w14:checked w14:val="0"/>
              <w14:checkedState w14:val="2612" w14:font="MS Gothic"/>
              <w14:uncheckedState w14:val="2610" w14:font="MS Gothic"/>
            </w14:checkbox>
          </w:sdtPr>
          <w:sdtEndPr/>
          <w:sdtContent>
            <w:tc>
              <w:tcPr>
                <w:tcW w:w="504" w:type="dxa"/>
                <w:vAlign w:val="center"/>
              </w:tcPr>
              <w:p w:rsidR="00AD538F" w:rsidRPr="00BA13B7" w:rsidRDefault="00DF629F" w:rsidP="0049081E">
                <w:pPr>
                  <w:jc w:val="center"/>
                </w:pPr>
                <w:r w:rsidRPr="00BA13B7">
                  <w:rPr>
                    <w:rFonts w:ascii="Segoe UI Symbol" w:eastAsia="MS Gothic" w:hAnsi="Segoe UI Symbol" w:cs="Segoe UI Symbol"/>
                  </w:rPr>
                  <w:t>☐</w:t>
                </w:r>
              </w:p>
            </w:tc>
          </w:sdtContent>
        </w:sdt>
        <w:sdt>
          <w:sdtPr>
            <w:id w:val="1119032427"/>
            <w14:checkbox>
              <w14:checked w14:val="0"/>
              <w14:checkedState w14:val="2612" w14:font="MS Gothic"/>
              <w14:uncheckedState w14:val="2610" w14:font="MS Gothic"/>
            </w14:checkbox>
          </w:sdtPr>
          <w:sdtEndPr/>
          <w:sdtContent>
            <w:tc>
              <w:tcPr>
                <w:tcW w:w="503" w:type="dxa"/>
                <w:vAlign w:val="center"/>
              </w:tcPr>
              <w:p w:rsidR="00AD538F" w:rsidRPr="00BA13B7" w:rsidRDefault="00DF629F" w:rsidP="0049081E">
                <w:pPr>
                  <w:jc w:val="center"/>
                </w:pPr>
                <w:r w:rsidRPr="00BA13B7">
                  <w:rPr>
                    <w:rFonts w:ascii="Segoe UI Symbol" w:eastAsia="MS Gothic" w:hAnsi="Segoe UI Symbol" w:cs="Segoe UI Symbol"/>
                  </w:rPr>
                  <w:t>☐</w:t>
                </w:r>
              </w:p>
            </w:tc>
          </w:sdtContent>
        </w:sdt>
        <w:sdt>
          <w:sdtPr>
            <w:id w:val="-1469514847"/>
            <w14:checkbox>
              <w14:checked w14:val="1"/>
              <w14:checkedState w14:val="2612" w14:font="MS Gothic"/>
              <w14:uncheckedState w14:val="2610" w14:font="MS Gothic"/>
            </w14:checkbox>
          </w:sdtPr>
          <w:sdtEndPr/>
          <w:sdtContent>
            <w:tc>
              <w:tcPr>
                <w:tcW w:w="504" w:type="dxa"/>
                <w:vAlign w:val="center"/>
              </w:tcPr>
              <w:p w:rsidR="00AD538F" w:rsidRPr="00BA13B7" w:rsidRDefault="0080717A" w:rsidP="0049081E">
                <w:pPr>
                  <w:jc w:val="center"/>
                </w:pPr>
                <w:r w:rsidRPr="00BA13B7">
                  <w:rPr>
                    <w:rFonts w:ascii="Segoe UI Symbol" w:eastAsia="MS Gothic" w:hAnsi="Segoe UI Symbol" w:cs="Segoe UI Symbol"/>
                  </w:rPr>
                  <w:t>☒</w:t>
                </w:r>
              </w:p>
            </w:tc>
          </w:sdtContent>
        </w:sdt>
        <w:sdt>
          <w:sdtPr>
            <w:id w:val="-1265766526"/>
            <w14:checkbox>
              <w14:checked w14:val="0"/>
              <w14:checkedState w14:val="2612" w14:font="MS Gothic"/>
              <w14:uncheckedState w14:val="2610" w14:font="MS Gothic"/>
            </w14:checkbox>
          </w:sdtPr>
          <w:sdtEndPr/>
          <w:sdtContent>
            <w:tc>
              <w:tcPr>
                <w:tcW w:w="559" w:type="dxa"/>
                <w:vAlign w:val="center"/>
              </w:tcPr>
              <w:p w:rsidR="00AD538F" w:rsidRPr="00BA13B7" w:rsidRDefault="00DF629F" w:rsidP="0049081E">
                <w:pPr>
                  <w:jc w:val="center"/>
                </w:pPr>
                <w:r w:rsidRPr="00BA13B7">
                  <w:rPr>
                    <w:rFonts w:ascii="Segoe UI Symbol" w:eastAsia="MS Gothic" w:hAnsi="Segoe UI Symbol" w:cs="Segoe UI Symbol"/>
                  </w:rPr>
                  <w:t>☐</w:t>
                </w:r>
              </w:p>
            </w:tc>
          </w:sdtContent>
        </w:sdt>
        <w:sdt>
          <w:sdtPr>
            <w:id w:val="-1133550861"/>
            <w14:checkbox>
              <w14:checked w14:val="0"/>
              <w14:checkedState w14:val="2612" w14:font="MS Gothic"/>
              <w14:uncheckedState w14:val="2610" w14:font="MS Gothic"/>
            </w14:checkbox>
          </w:sdtPr>
          <w:sdtEndPr/>
          <w:sdtContent>
            <w:tc>
              <w:tcPr>
                <w:tcW w:w="504" w:type="dxa"/>
                <w:vAlign w:val="center"/>
              </w:tcPr>
              <w:p w:rsidR="00AD538F" w:rsidRPr="00BA13B7" w:rsidRDefault="00DF629F" w:rsidP="0049081E">
                <w:pPr>
                  <w:jc w:val="center"/>
                </w:pPr>
                <w:r w:rsidRPr="00BA13B7">
                  <w:rPr>
                    <w:rFonts w:ascii="Segoe UI Symbol" w:eastAsia="MS Gothic" w:hAnsi="Segoe UI Symbol" w:cs="Segoe UI Symbol"/>
                  </w:rPr>
                  <w:t>☐</w:t>
                </w:r>
              </w:p>
            </w:tc>
          </w:sdtContent>
        </w:sdt>
        <w:sdt>
          <w:sdtPr>
            <w:id w:val="1424766111"/>
            <w14:checkbox>
              <w14:checked w14:val="0"/>
              <w14:checkedState w14:val="2612" w14:font="MS Gothic"/>
              <w14:uncheckedState w14:val="2610" w14:font="MS Gothic"/>
            </w14:checkbox>
          </w:sdtPr>
          <w:sdtEndPr/>
          <w:sdtContent>
            <w:tc>
              <w:tcPr>
                <w:tcW w:w="503" w:type="dxa"/>
                <w:vAlign w:val="center"/>
              </w:tcPr>
              <w:p w:rsidR="00AD538F" w:rsidRPr="00BA13B7" w:rsidRDefault="00DF629F" w:rsidP="0049081E">
                <w:pPr>
                  <w:jc w:val="center"/>
                </w:pPr>
                <w:r w:rsidRPr="00BA13B7">
                  <w:rPr>
                    <w:rFonts w:ascii="Segoe UI Symbol" w:eastAsia="MS Gothic" w:hAnsi="Segoe UI Symbol" w:cs="Segoe UI Symbol"/>
                  </w:rPr>
                  <w:t>☐</w:t>
                </w:r>
              </w:p>
            </w:tc>
          </w:sdtContent>
        </w:sdt>
        <w:sdt>
          <w:sdtPr>
            <w:id w:val="366576863"/>
            <w14:checkbox>
              <w14:checked w14:val="0"/>
              <w14:checkedState w14:val="2612" w14:font="MS Gothic"/>
              <w14:uncheckedState w14:val="2610" w14:font="MS Gothic"/>
            </w14:checkbox>
          </w:sdtPr>
          <w:sdtEndPr/>
          <w:sdtContent>
            <w:tc>
              <w:tcPr>
                <w:tcW w:w="504" w:type="dxa"/>
                <w:vAlign w:val="center"/>
              </w:tcPr>
              <w:p w:rsidR="00AD538F" w:rsidRPr="00BA13B7" w:rsidRDefault="00DF629F" w:rsidP="0049081E">
                <w:pPr>
                  <w:jc w:val="center"/>
                </w:pPr>
                <w:r w:rsidRPr="00BA13B7">
                  <w:rPr>
                    <w:rFonts w:ascii="Segoe UI Symbol" w:eastAsia="MS Gothic" w:hAnsi="Segoe UI Symbol" w:cs="Segoe UI Symbol"/>
                  </w:rPr>
                  <w:t>☐</w:t>
                </w:r>
              </w:p>
            </w:tc>
          </w:sdtContent>
        </w:sdt>
        <w:tc>
          <w:tcPr>
            <w:tcW w:w="2692" w:type="dxa"/>
            <w:vAlign w:val="center"/>
          </w:tcPr>
          <w:p w:rsidR="00AD538F" w:rsidRPr="00BA13B7" w:rsidRDefault="00AD538F" w:rsidP="003C027C"/>
        </w:tc>
      </w:tr>
      <w:tr w:rsidR="00DF629F" w:rsidRPr="00BA13B7" w:rsidTr="00023F3C">
        <w:trPr>
          <w:trHeight w:val="432"/>
        </w:trPr>
        <w:tc>
          <w:tcPr>
            <w:tcW w:w="3150" w:type="dxa"/>
            <w:vAlign w:val="center"/>
          </w:tcPr>
          <w:p w:rsidR="00DF629F" w:rsidRPr="00BA13B7" w:rsidRDefault="00734AED" w:rsidP="007D0EB0">
            <w:r w:rsidRPr="00BA13B7">
              <w:t>South Bay Wor</w:t>
            </w:r>
            <w:r w:rsidR="00AB6D1E">
              <w:t>kforce Investment Board</w:t>
            </w:r>
          </w:p>
        </w:tc>
        <w:tc>
          <w:tcPr>
            <w:tcW w:w="2016" w:type="dxa"/>
            <w:vAlign w:val="center"/>
          </w:tcPr>
          <w:p w:rsidR="00DF629F" w:rsidRPr="00BA13B7" w:rsidRDefault="00AB6D1E" w:rsidP="00DF629F">
            <w:r w:rsidRPr="00BA13B7">
              <w:t>Workforce Board</w:t>
            </w:r>
          </w:p>
        </w:tc>
        <w:tc>
          <w:tcPr>
            <w:tcW w:w="2722" w:type="dxa"/>
            <w:vAlign w:val="center"/>
          </w:tcPr>
          <w:p w:rsidR="00DF629F" w:rsidRPr="00BA13B7" w:rsidRDefault="00465324" w:rsidP="00023F3C">
            <w:r>
              <w:t>11539 Hawthorne Blvd., #500, Hawthorne 90250</w:t>
            </w:r>
          </w:p>
        </w:tc>
        <w:sdt>
          <w:sdtPr>
            <w:id w:val="240221977"/>
            <w14:checkbox>
              <w14:checked w14:val="0"/>
              <w14:checkedState w14:val="2612" w14:font="MS Gothic"/>
              <w14:uncheckedState w14:val="2610" w14:font="MS Gothic"/>
            </w14:checkbox>
          </w:sdtPr>
          <w:sdtEndPr/>
          <w:sdtContent>
            <w:tc>
              <w:tcPr>
                <w:tcW w:w="504" w:type="dxa"/>
                <w:vAlign w:val="center"/>
              </w:tcPr>
              <w:p w:rsidR="00DF629F" w:rsidRPr="00BA13B7" w:rsidRDefault="00DF629F" w:rsidP="00DF629F">
                <w:pPr>
                  <w:jc w:val="center"/>
                </w:pPr>
                <w:r w:rsidRPr="00BA13B7">
                  <w:rPr>
                    <w:rFonts w:ascii="Segoe UI Symbol" w:eastAsia="MS Gothic" w:hAnsi="Segoe UI Symbol" w:cs="Segoe UI Symbol"/>
                  </w:rPr>
                  <w:t>☐</w:t>
                </w:r>
              </w:p>
            </w:tc>
          </w:sdtContent>
        </w:sdt>
        <w:sdt>
          <w:sdtPr>
            <w:id w:val="938495454"/>
            <w14:checkbox>
              <w14:checked w14:val="0"/>
              <w14:checkedState w14:val="2612" w14:font="MS Gothic"/>
              <w14:uncheckedState w14:val="2610" w14:font="MS Gothic"/>
            </w14:checkbox>
          </w:sdtPr>
          <w:sdtEndPr/>
          <w:sdtContent>
            <w:tc>
              <w:tcPr>
                <w:tcW w:w="504" w:type="dxa"/>
                <w:vAlign w:val="center"/>
              </w:tcPr>
              <w:p w:rsidR="00DF629F" w:rsidRPr="00BA13B7" w:rsidRDefault="00DF629F" w:rsidP="00DF629F">
                <w:pPr>
                  <w:jc w:val="center"/>
                </w:pPr>
                <w:r w:rsidRPr="00BA13B7">
                  <w:rPr>
                    <w:rFonts w:ascii="Segoe UI Symbol" w:eastAsia="MS Gothic" w:hAnsi="Segoe UI Symbol" w:cs="Segoe UI Symbol"/>
                  </w:rPr>
                  <w:t>☐</w:t>
                </w:r>
              </w:p>
            </w:tc>
          </w:sdtContent>
        </w:sdt>
        <w:sdt>
          <w:sdtPr>
            <w:id w:val="-1600637540"/>
            <w14:checkbox>
              <w14:checked w14:val="0"/>
              <w14:checkedState w14:val="2612" w14:font="MS Gothic"/>
              <w14:uncheckedState w14:val="2610" w14:font="MS Gothic"/>
            </w14:checkbox>
          </w:sdtPr>
          <w:sdtEndPr/>
          <w:sdtContent>
            <w:tc>
              <w:tcPr>
                <w:tcW w:w="503" w:type="dxa"/>
                <w:vAlign w:val="center"/>
              </w:tcPr>
              <w:p w:rsidR="00DF629F" w:rsidRPr="00BA13B7" w:rsidRDefault="00DF629F" w:rsidP="00DF629F">
                <w:pPr>
                  <w:jc w:val="center"/>
                </w:pPr>
                <w:r w:rsidRPr="00BA13B7">
                  <w:rPr>
                    <w:rFonts w:ascii="Segoe UI Symbol" w:eastAsia="MS Gothic" w:hAnsi="Segoe UI Symbol" w:cs="Segoe UI Symbol"/>
                  </w:rPr>
                  <w:t>☐</w:t>
                </w:r>
              </w:p>
            </w:tc>
          </w:sdtContent>
        </w:sdt>
        <w:sdt>
          <w:sdtPr>
            <w:id w:val="-381018121"/>
            <w14:checkbox>
              <w14:checked w14:val="1"/>
              <w14:checkedState w14:val="2612" w14:font="MS Gothic"/>
              <w14:uncheckedState w14:val="2610" w14:font="MS Gothic"/>
            </w14:checkbox>
          </w:sdtPr>
          <w:sdtEndPr/>
          <w:sdtContent>
            <w:tc>
              <w:tcPr>
                <w:tcW w:w="504" w:type="dxa"/>
                <w:vAlign w:val="center"/>
              </w:tcPr>
              <w:p w:rsidR="00DF629F" w:rsidRPr="00BA13B7" w:rsidRDefault="0080717A" w:rsidP="00DF629F">
                <w:pPr>
                  <w:jc w:val="center"/>
                </w:pPr>
                <w:r w:rsidRPr="00BA13B7">
                  <w:rPr>
                    <w:rFonts w:ascii="Segoe UI Symbol" w:eastAsia="MS Gothic" w:hAnsi="Segoe UI Symbol" w:cs="Segoe UI Symbol"/>
                  </w:rPr>
                  <w:t>☒</w:t>
                </w:r>
              </w:p>
            </w:tc>
          </w:sdtContent>
        </w:sdt>
        <w:sdt>
          <w:sdtPr>
            <w:id w:val="-1528788275"/>
            <w14:checkbox>
              <w14:checked w14:val="0"/>
              <w14:checkedState w14:val="2612" w14:font="MS Gothic"/>
              <w14:uncheckedState w14:val="2610" w14:font="MS Gothic"/>
            </w14:checkbox>
          </w:sdtPr>
          <w:sdtEndPr/>
          <w:sdtContent>
            <w:tc>
              <w:tcPr>
                <w:tcW w:w="559" w:type="dxa"/>
                <w:vAlign w:val="center"/>
              </w:tcPr>
              <w:p w:rsidR="00DF629F" w:rsidRPr="00BA13B7" w:rsidRDefault="00DF629F" w:rsidP="00DF629F">
                <w:pPr>
                  <w:jc w:val="center"/>
                </w:pPr>
                <w:r w:rsidRPr="00BA13B7">
                  <w:rPr>
                    <w:rFonts w:ascii="Segoe UI Symbol" w:eastAsia="MS Gothic" w:hAnsi="Segoe UI Symbol" w:cs="Segoe UI Symbol"/>
                  </w:rPr>
                  <w:t>☐</w:t>
                </w:r>
              </w:p>
            </w:tc>
          </w:sdtContent>
        </w:sdt>
        <w:sdt>
          <w:sdtPr>
            <w:id w:val="1190957473"/>
            <w14:checkbox>
              <w14:checked w14:val="0"/>
              <w14:checkedState w14:val="2612" w14:font="MS Gothic"/>
              <w14:uncheckedState w14:val="2610" w14:font="MS Gothic"/>
            </w14:checkbox>
          </w:sdtPr>
          <w:sdtEndPr/>
          <w:sdtContent>
            <w:tc>
              <w:tcPr>
                <w:tcW w:w="504" w:type="dxa"/>
                <w:vAlign w:val="center"/>
              </w:tcPr>
              <w:p w:rsidR="00DF629F" w:rsidRPr="00BA13B7" w:rsidRDefault="00DF629F" w:rsidP="00DF629F">
                <w:pPr>
                  <w:jc w:val="center"/>
                </w:pPr>
                <w:r w:rsidRPr="00BA13B7">
                  <w:rPr>
                    <w:rFonts w:ascii="Segoe UI Symbol" w:eastAsia="MS Gothic" w:hAnsi="Segoe UI Symbol" w:cs="Segoe UI Symbol"/>
                  </w:rPr>
                  <w:t>☐</w:t>
                </w:r>
              </w:p>
            </w:tc>
          </w:sdtContent>
        </w:sdt>
        <w:sdt>
          <w:sdtPr>
            <w:id w:val="670454846"/>
            <w14:checkbox>
              <w14:checked w14:val="0"/>
              <w14:checkedState w14:val="2612" w14:font="MS Gothic"/>
              <w14:uncheckedState w14:val="2610" w14:font="MS Gothic"/>
            </w14:checkbox>
          </w:sdtPr>
          <w:sdtEndPr/>
          <w:sdtContent>
            <w:tc>
              <w:tcPr>
                <w:tcW w:w="503" w:type="dxa"/>
                <w:vAlign w:val="center"/>
              </w:tcPr>
              <w:p w:rsidR="00DF629F" w:rsidRPr="00BA13B7" w:rsidRDefault="00DF629F" w:rsidP="00DF629F">
                <w:pPr>
                  <w:jc w:val="center"/>
                </w:pPr>
                <w:r w:rsidRPr="00BA13B7">
                  <w:rPr>
                    <w:rFonts w:ascii="Segoe UI Symbol" w:eastAsia="MS Gothic" w:hAnsi="Segoe UI Symbol" w:cs="Segoe UI Symbol"/>
                  </w:rPr>
                  <w:t>☐</w:t>
                </w:r>
              </w:p>
            </w:tc>
          </w:sdtContent>
        </w:sdt>
        <w:sdt>
          <w:sdtPr>
            <w:id w:val="723563944"/>
            <w14:checkbox>
              <w14:checked w14:val="0"/>
              <w14:checkedState w14:val="2612" w14:font="MS Gothic"/>
              <w14:uncheckedState w14:val="2610" w14:font="MS Gothic"/>
            </w14:checkbox>
          </w:sdtPr>
          <w:sdtEndPr/>
          <w:sdtContent>
            <w:tc>
              <w:tcPr>
                <w:tcW w:w="504" w:type="dxa"/>
                <w:vAlign w:val="center"/>
              </w:tcPr>
              <w:p w:rsidR="00DF629F" w:rsidRPr="00BA13B7" w:rsidRDefault="00DF629F" w:rsidP="00DF629F">
                <w:pPr>
                  <w:jc w:val="center"/>
                </w:pPr>
                <w:r w:rsidRPr="00BA13B7">
                  <w:rPr>
                    <w:rFonts w:ascii="Segoe UI Symbol" w:eastAsia="MS Gothic" w:hAnsi="Segoe UI Symbol" w:cs="Segoe UI Symbol"/>
                  </w:rPr>
                  <w:t>☐</w:t>
                </w:r>
              </w:p>
            </w:tc>
          </w:sdtContent>
        </w:sdt>
        <w:tc>
          <w:tcPr>
            <w:tcW w:w="2692" w:type="dxa"/>
            <w:vAlign w:val="center"/>
          </w:tcPr>
          <w:p w:rsidR="00DF629F" w:rsidRPr="00BA13B7" w:rsidRDefault="00DF629F" w:rsidP="00DF629F"/>
        </w:tc>
      </w:tr>
      <w:tr w:rsidR="00734AED" w:rsidRPr="00BA13B7" w:rsidTr="00023F3C">
        <w:trPr>
          <w:trHeight w:val="432"/>
        </w:trPr>
        <w:tc>
          <w:tcPr>
            <w:tcW w:w="3150" w:type="dxa"/>
            <w:vAlign w:val="center"/>
          </w:tcPr>
          <w:p w:rsidR="00734AED" w:rsidRPr="00BA13B7" w:rsidRDefault="00734AED" w:rsidP="007D0EB0">
            <w:r w:rsidRPr="00BA13B7">
              <w:t>Foothill WDB</w:t>
            </w:r>
          </w:p>
        </w:tc>
        <w:tc>
          <w:tcPr>
            <w:tcW w:w="2016" w:type="dxa"/>
            <w:vAlign w:val="center"/>
          </w:tcPr>
          <w:p w:rsidR="00734AED" w:rsidRPr="00BA13B7" w:rsidRDefault="00734AED" w:rsidP="00734AED">
            <w:r w:rsidRPr="00BA13B7">
              <w:t>Workforce Board</w:t>
            </w:r>
          </w:p>
        </w:tc>
        <w:tc>
          <w:tcPr>
            <w:tcW w:w="2722" w:type="dxa"/>
            <w:vAlign w:val="center"/>
          </w:tcPr>
          <w:p w:rsidR="00734AED" w:rsidRPr="00BA13B7" w:rsidRDefault="00465324" w:rsidP="00023F3C">
            <w:r>
              <w:t>1207 E. Green St., Pasadena 91106</w:t>
            </w:r>
          </w:p>
        </w:tc>
        <w:sdt>
          <w:sdtPr>
            <w:id w:val="1909733209"/>
            <w14:checkbox>
              <w14:checked w14:val="0"/>
              <w14:checkedState w14:val="2612" w14:font="MS Gothic"/>
              <w14:uncheckedState w14:val="2610" w14:font="MS Gothic"/>
            </w14:checkbox>
          </w:sdtPr>
          <w:sdtEndPr/>
          <w:sdtContent>
            <w:tc>
              <w:tcPr>
                <w:tcW w:w="504"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1842999790"/>
            <w14:checkbox>
              <w14:checked w14:val="0"/>
              <w14:checkedState w14:val="2612" w14:font="MS Gothic"/>
              <w14:uncheckedState w14:val="2610" w14:font="MS Gothic"/>
            </w14:checkbox>
          </w:sdtPr>
          <w:sdtEndPr/>
          <w:sdtContent>
            <w:tc>
              <w:tcPr>
                <w:tcW w:w="504"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494234272"/>
            <w14:checkbox>
              <w14:checked w14:val="0"/>
              <w14:checkedState w14:val="2612" w14:font="MS Gothic"/>
              <w14:uncheckedState w14:val="2610" w14:font="MS Gothic"/>
            </w14:checkbox>
          </w:sdtPr>
          <w:sdtEndPr/>
          <w:sdtContent>
            <w:tc>
              <w:tcPr>
                <w:tcW w:w="503"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646436433"/>
            <w14:checkbox>
              <w14:checked w14:val="1"/>
              <w14:checkedState w14:val="2612" w14:font="MS Gothic"/>
              <w14:uncheckedState w14:val="2610" w14:font="MS Gothic"/>
            </w14:checkbox>
          </w:sdtPr>
          <w:sdtEndPr/>
          <w:sdtContent>
            <w:tc>
              <w:tcPr>
                <w:tcW w:w="504"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1776283064"/>
            <w14:checkbox>
              <w14:checked w14:val="0"/>
              <w14:checkedState w14:val="2612" w14:font="MS Gothic"/>
              <w14:uncheckedState w14:val="2610" w14:font="MS Gothic"/>
            </w14:checkbox>
          </w:sdtPr>
          <w:sdtEndPr/>
          <w:sdtContent>
            <w:tc>
              <w:tcPr>
                <w:tcW w:w="559"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585492599"/>
            <w14:checkbox>
              <w14:checked w14:val="0"/>
              <w14:checkedState w14:val="2612" w14:font="MS Gothic"/>
              <w14:uncheckedState w14:val="2610" w14:font="MS Gothic"/>
            </w14:checkbox>
          </w:sdtPr>
          <w:sdtEndPr/>
          <w:sdtContent>
            <w:tc>
              <w:tcPr>
                <w:tcW w:w="504"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1751729491"/>
            <w14:checkbox>
              <w14:checked w14:val="0"/>
              <w14:checkedState w14:val="2612" w14:font="MS Gothic"/>
              <w14:uncheckedState w14:val="2610" w14:font="MS Gothic"/>
            </w14:checkbox>
          </w:sdtPr>
          <w:sdtEndPr/>
          <w:sdtContent>
            <w:tc>
              <w:tcPr>
                <w:tcW w:w="503"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588310148"/>
            <w14:checkbox>
              <w14:checked w14:val="0"/>
              <w14:checkedState w14:val="2612" w14:font="MS Gothic"/>
              <w14:uncheckedState w14:val="2610" w14:font="MS Gothic"/>
            </w14:checkbox>
          </w:sdtPr>
          <w:sdtEndPr/>
          <w:sdtContent>
            <w:tc>
              <w:tcPr>
                <w:tcW w:w="504"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tc>
          <w:tcPr>
            <w:tcW w:w="2692" w:type="dxa"/>
            <w:vAlign w:val="center"/>
          </w:tcPr>
          <w:p w:rsidR="00734AED" w:rsidRPr="00BA13B7" w:rsidRDefault="00734AED" w:rsidP="00734AED"/>
        </w:tc>
      </w:tr>
      <w:tr w:rsidR="00734AED" w:rsidRPr="00BA13B7" w:rsidTr="00023F3C">
        <w:trPr>
          <w:trHeight w:val="432"/>
        </w:trPr>
        <w:tc>
          <w:tcPr>
            <w:tcW w:w="3150" w:type="dxa"/>
            <w:vAlign w:val="center"/>
          </w:tcPr>
          <w:p w:rsidR="00734AED" w:rsidRPr="00BA13B7" w:rsidRDefault="005B0B91" w:rsidP="007D0EB0">
            <w:r>
              <w:t>Verdugo WDB</w:t>
            </w:r>
          </w:p>
        </w:tc>
        <w:tc>
          <w:tcPr>
            <w:tcW w:w="2016" w:type="dxa"/>
            <w:vAlign w:val="center"/>
          </w:tcPr>
          <w:p w:rsidR="00734AED" w:rsidRPr="00BA13B7" w:rsidRDefault="005B0B91" w:rsidP="00734AED">
            <w:r>
              <w:t>Workforce Board</w:t>
            </w:r>
          </w:p>
        </w:tc>
        <w:tc>
          <w:tcPr>
            <w:tcW w:w="2722" w:type="dxa"/>
            <w:vAlign w:val="center"/>
          </w:tcPr>
          <w:p w:rsidR="00734AED" w:rsidRPr="00BA13B7" w:rsidRDefault="005B0B91" w:rsidP="00023F3C">
            <w:r>
              <w:t>1255 S. Central Avenue, Glendale, 91204</w:t>
            </w:r>
          </w:p>
        </w:tc>
        <w:sdt>
          <w:sdtPr>
            <w:id w:val="-1390808313"/>
            <w14:checkbox>
              <w14:checked w14:val="0"/>
              <w14:checkedState w14:val="2612" w14:font="MS Gothic"/>
              <w14:uncheckedState w14:val="2610" w14:font="MS Gothic"/>
            </w14:checkbox>
          </w:sdtPr>
          <w:sdtEndPr/>
          <w:sdtContent>
            <w:tc>
              <w:tcPr>
                <w:tcW w:w="504"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935133612"/>
            <w14:checkbox>
              <w14:checked w14:val="0"/>
              <w14:checkedState w14:val="2612" w14:font="MS Gothic"/>
              <w14:uncheckedState w14:val="2610" w14:font="MS Gothic"/>
            </w14:checkbox>
          </w:sdtPr>
          <w:sdtEndPr/>
          <w:sdtContent>
            <w:tc>
              <w:tcPr>
                <w:tcW w:w="504"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1301265557"/>
            <w14:checkbox>
              <w14:checked w14:val="0"/>
              <w14:checkedState w14:val="2612" w14:font="MS Gothic"/>
              <w14:uncheckedState w14:val="2610" w14:font="MS Gothic"/>
            </w14:checkbox>
          </w:sdtPr>
          <w:sdtEndPr/>
          <w:sdtContent>
            <w:tc>
              <w:tcPr>
                <w:tcW w:w="503"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274144812"/>
            <w14:checkbox>
              <w14:checked w14:val="1"/>
              <w14:checkedState w14:val="2612" w14:font="MS Gothic"/>
              <w14:uncheckedState w14:val="2610" w14:font="MS Gothic"/>
            </w14:checkbox>
          </w:sdtPr>
          <w:sdtEndPr/>
          <w:sdtContent>
            <w:tc>
              <w:tcPr>
                <w:tcW w:w="504"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682510131"/>
            <w14:checkbox>
              <w14:checked w14:val="0"/>
              <w14:checkedState w14:val="2612" w14:font="MS Gothic"/>
              <w14:uncheckedState w14:val="2610" w14:font="MS Gothic"/>
            </w14:checkbox>
          </w:sdtPr>
          <w:sdtEndPr/>
          <w:sdtContent>
            <w:tc>
              <w:tcPr>
                <w:tcW w:w="559"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221915337"/>
            <w14:checkbox>
              <w14:checked w14:val="0"/>
              <w14:checkedState w14:val="2612" w14:font="MS Gothic"/>
              <w14:uncheckedState w14:val="2610" w14:font="MS Gothic"/>
            </w14:checkbox>
          </w:sdtPr>
          <w:sdtEndPr/>
          <w:sdtContent>
            <w:tc>
              <w:tcPr>
                <w:tcW w:w="504"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1195849131"/>
            <w14:checkbox>
              <w14:checked w14:val="0"/>
              <w14:checkedState w14:val="2612" w14:font="MS Gothic"/>
              <w14:uncheckedState w14:val="2610" w14:font="MS Gothic"/>
            </w14:checkbox>
          </w:sdtPr>
          <w:sdtEndPr/>
          <w:sdtContent>
            <w:tc>
              <w:tcPr>
                <w:tcW w:w="503"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sdt>
          <w:sdtPr>
            <w:id w:val="2056572264"/>
            <w14:checkbox>
              <w14:checked w14:val="0"/>
              <w14:checkedState w14:val="2612" w14:font="MS Gothic"/>
              <w14:uncheckedState w14:val="2610" w14:font="MS Gothic"/>
            </w14:checkbox>
          </w:sdtPr>
          <w:sdtEndPr/>
          <w:sdtContent>
            <w:tc>
              <w:tcPr>
                <w:tcW w:w="504" w:type="dxa"/>
                <w:vAlign w:val="center"/>
              </w:tcPr>
              <w:p w:rsidR="00734AED" w:rsidRPr="00BA13B7" w:rsidRDefault="00734AED" w:rsidP="00734AED">
                <w:pPr>
                  <w:jc w:val="center"/>
                </w:pPr>
                <w:r w:rsidRPr="00BA13B7">
                  <w:rPr>
                    <w:rFonts w:ascii="Segoe UI Symbol" w:eastAsia="MS Gothic" w:hAnsi="Segoe UI Symbol" w:cs="Segoe UI Symbol"/>
                  </w:rPr>
                  <w:t>☐</w:t>
                </w:r>
              </w:p>
            </w:tc>
          </w:sdtContent>
        </w:sdt>
        <w:tc>
          <w:tcPr>
            <w:tcW w:w="2692" w:type="dxa"/>
            <w:vAlign w:val="center"/>
          </w:tcPr>
          <w:p w:rsidR="00734AED" w:rsidRPr="00BA13B7" w:rsidRDefault="00734AED" w:rsidP="00734AED"/>
        </w:tc>
      </w:tr>
      <w:tr w:rsidR="005B0B91" w:rsidRPr="00BA13B7" w:rsidTr="00023F3C">
        <w:trPr>
          <w:trHeight w:val="432"/>
        </w:trPr>
        <w:tc>
          <w:tcPr>
            <w:tcW w:w="3150" w:type="dxa"/>
            <w:vAlign w:val="center"/>
          </w:tcPr>
          <w:p w:rsidR="005B0B91" w:rsidRPr="00BA13B7" w:rsidRDefault="005B0B91" w:rsidP="007D0EB0">
            <w:r w:rsidRPr="00BA13B7">
              <w:t>Pomona Valley Comprehensive AJCC</w:t>
            </w:r>
          </w:p>
        </w:tc>
        <w:tc>
          <w:tcPr>
            <w:tcW w:w="2016" w:type="dxa"/>
            <w:vAlign w:val="center"/>
          </w:tcPr>
          <w:p w:rsidR="005B0B91" w:rsidRPr="00BA13B7" w:rsidRDefault="005B0B91" w:rsidP="005B0B91">
            <w:r w:rsidRPr="00BA13B7">
              <w:t>AJCC</w:t>
            </w:r>
          </w:p>
        </w:tc>
        <w:tc>
          <w:tcPr>
            <w:tcW w:w="2722" w:type="dxa"/>
            <w:vAlign w:val="center"/>
          </w:tcPr>
          <w:p w:rsidR="005B0B91" w:rsidRPr="00BA13B7" w:rsidRDefault="005B0B91" w:rsidP="00023F3C">
            <w:r>
              <w:t>264 E. Monterey Ave., Pomona, 91767</w:t>
            </w:r>
          </w:p>
        </w:tc>
        <w:sdt>
          <w:sdtPr>
            <w:id w:val="-136196117"/>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689917329"/>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291897378"/>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630627549"/>
            <w14:checkbox>
              <w14:checked w14:val="1"/>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2126444099"/>
            <w14:checkbox>
              <w14:checked w14:val="0"/>
              <w14:checkedState w14:val="2612" w14:font="MS Gothic"/>
              <w14:uncheckedState w14:val="2610" w14:font="MS Gothic"/>
            </w14:checkbox>
          </w:sdtPr>
          <w:sdtEndPr/>
          <w:sdtContent>
            <w:tc>
              <w:tcPr>
                <w:tcW w:w="559"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586841986"/>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079062813"/>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422068439"/>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tc>
          <w:tcPr>
            <w:tcW w:w="2692" w:type="dxa"/>
            <w:vAlign w:val="center"/>
          </w:tcPr>
          <w:p w:rsidR="005B0B91" w:rsidRPr="00BA13B7" w:rsidRDefault="005B0B91" w:rsidP="005B0B91"/>
        </w:tc>
      </w:tr>
      <w:tr w:rsidR="005B0B91" w:rsidRPr="00BA13B7" w:rsidTr="00023F3C">
        <w:trPr>
          <w:trHeight w:val="432"/>
        </w:trPr>
        <w:tc>
          <w:tcPr>
            <w:tcW w:w="3150" w:type="dxa"/>
            <w:vAlign w:val="center"/>
          </w:tcPr>
          <w:p w:rsidR="005B0B91" w:rsidRPr="00BA13B7" w:rsidRDefault="005B0B91" w:rsidP="007D0EB0">
            <w:r>
              <w:t>Northeast San Gabriel Valley AJCC</w:t>
            </w:r>
          </w:p>
        </w:tc>
        <w:tc>
          <w:tcPr>
            <w:tcW w:w="2016" w:type="dxa"/>
            <w:vAlign w:val="center"/>
          </w:tcPr>
          <w:p w:rsidR="005B0B91" w:rsidRPr="00BA13B7" w:rsidRDefault="005B0B91" w:rsidP="005B0B91">
            <w:r>
              <w:t>AJCC</w:t>
            </w:r>
          </w:p>
        </w:tc>
        <w:tc>
          <w:tcPr>
            <w:tcW w:w="2722" w:type="dxa"/>
            <w:vAlign w:val="center"/>
          </w:tcPr>
          <w:p w:rsidR="005B0B91" w:rsidRPr="00BA13B7" w:rsidRDefault="005B0B91" w:rsidP="00023F3C">
            <w:r>
              <w:t>2550 W. Main St., Alhambra, 91801</w:t>
            </w:r>
          </w:p>
        </w:tc>
        <w:sdt>
          <w:sdtPr>
            <w:id w:val="-1603952523"/>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52231116"/>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2147467194"/>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666856582"/>
            <w14:checkbox>
              <w14:checked w14:val="1"/>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291593775"/>
            <w14:checkbox>
              <w14:checked w14:val="0"/>
              <w14:checkedState w14:val="2612" w14:font="MS Gothic"/>
              <w14:uncheckedState w14:val="2610" w14:font="MS Gothic"/>
            </w14:checkbox>
          </w:sdtPr>
          <w:sdtEndPr/>
          <w:sdtContent>
            <w:tc>
              <w:tcPr>
                <w:tcW w:w="559"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985846762"/>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669630503"/>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836107756"/>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tc>
          <w:tcPr>
            <w:tcW w:w="2692" w:type="dxa"/>
            <w:vAlign w:val="center"/>
          </w:tcPr>
          <w:p w:rsidR="005B0B91" w:rsidRPr="00BA13B7" w:rsidRDefault="005B0B91" w:rsidP="005B0B91"/>
        </w:tc>
      </w:tr>
      <w:tr w:rsidR="005B0B91" w:rsidRPr="00BA13B7" w:rsidTr="00023F3C">
        <w:trPr>
          <w:trHeight w:val="432"/>
        </w:trPr>
        <w:tc>
          <w:tcPr>
            <w:tcW w:w="3150" w:type="dxa"/>
            <w:vAlign w:val="center"/>
          </w:tcPr>
          <w:p w:rsidR="005B0B91" w:rsidRPr="00BA13B7" w:rsidRDefault="005B0B91" w:rsidP="007D0EB0">
            <w:r w:rsidRPr="00BA13B7">
              <w:t>East San Gabriel Valley Comprehensive AJCC</w:t>
            </w:r>
          </w:p>
        </w:tc>
        <w:tc>
          <w:tcPr>
            <w:tcW w:w="2016" w:type="dxa"/>
            <w:vAlign w:val="center"/>
          </w:tcPr>
          <w:p w:rsidR="005B0B91" w:rsidRPr="00BA13B7" w:rsidRDefault="005B0B91" w:rsidP="005B0B91">
            <w:r w:rsidRPr="00BA13B7">
              <w:t>AJCC</w:t>
            </w:r>
          </w:p>
        </w:tc>
        <w:tc>
          <w:tcPr>
            <w:tcW w:w="2722" w:type="dxa"/>
            <w:vAlign w:val="center"/>
          </w:tcPr>
          <w:p w:rsidR="005B0B91" w:rsidRPr="00BA13B7" w:rsidRDefault="005B0B91" w:rsidP="00023F3C">
            <w:r>
              <w:t>14101 E. Nelson Ave.,  La Puente, 91746</w:t>
            </w:r>
          </w:p>
        </w:tc>
        <w:sdt>
          <w:sdtPr>
            <w:id w:val="1722170878"/>
            <w14:checkbox>
              <w14:checked w14:val="0"/>
              <w14:checkedState w14:val="2612" w14:font="MS Gothic"/>
              <w14:uncheckedState w14:val="2610" w14:font="MS Gothic"/>
            </w14:checkbox>
          </w:sdtPr>
          <w:sdtEndPr/>
          <w:sdtContent>
            <w:tc>
              <w:tcPr>
                <w:tcW w:w="504" w:type="dxa"/>
                <w:vAlign w:val="center"/>
              </w:tcPr>
              <w:p w:rsidR="005B0B91" w:rsidRPr="00BA13B7" w:rsidRDefault="00023F3C" w:rsidP="005B0B91">
                <w:pPr>
                  <w:jc w:val="center"/>
                </w:pPr>
                <w:r>
                  <w:rPr>
                    <w:rFonts w:ascii="MS Gothic" w:eastAsia="MS Gothic" w:hAnsi="MS Gothic" w:hint="eastAsia"/>
                  </w:rPr>
                  <w:t>☐</w:t>
                </w:r>
              </w:p>
            </w:tc>
          </w:sdtContent>
        </w:sdt>
        <w:sdt>
          <w:sdtPr>
            <w:id w:val="-1656139318"/>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452129460"/>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243228435"/>
            <w14:checkbox>
              <w14:checked w14:val="1"/>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51397757"/>
            <w14:checkbox>
              <w14:checked w14:val="0"/>
              <w14:checkedState w14:val="2612" w14:font="MS Gothic"/>
              <w14:uncheckedState w14:val="2610" w14:font="MS Gothic"/>
            </w14:checkbox>
          </w:sdtPr>
          <w:sdtEndPr/>
          <w:sdtContent>
            <w:tc>
              <w:tcPr>
                <w:tcW w:w="559"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302304279"/>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195997063"/>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508299042"/>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tc>
          <w:tcPr>
            <w:tcW w:w="2692" w:type="dxa"/>
            <w:vAlign w:val="center"/>
          </w:tcPr>
          <w:p w:rsidR="005B0B91" w:rsidRPr="00BA13B7" w:rsidRDefault="005B0B91" w:rsidP="005B0B91"/>
        </w:tc>
      </w:tr>
      <w:tr w:rsidR="005B0B91" w:rsidRPr="00BA13B7" w:rsidTr="00023F3C">
        <w:trPr>
          <w:trHeight w:val="432"/>
        </w:trPr>
        <w:tc>
          <w:tcPr>
            <w:tcW w:w="3150" w:type="dxa"/>
            <w:vAlign w:val="center"/>
          </w:tcPr>
          <w:p w:rsidR="005B0B91" w:rsidRPr="00BA13B7" w:rsidRDefault="005B0B91" w:rsidP="007D0EB0">
            <w:r w:rsidRPr="00BA13B7">
              <w:t>Northeast San Fernando Valley AJCC</w:t>
            </w:r>
          </w:p>
        </w:tc>
        <w:tc>
          <w:tcPr>
            <w:tcW w:w="2016" w:type="dxa"/>
            <w:vAlign w:val="center"/>
          </w:tcPr>
          <w:p w:rsidR="005B0B91" w:rsidRPr="00BA13B7" w:rsidRDefault="005B0B91" w:rsidP="005B0B91">
            <w:r w:rsidRPr="00BA13B7">
              <w:t>AJCC</w:t>
            </w:r>
          </w:p>
        </w:tc>
        <w:tc>
          <w:tcPr>
            <w:tcW w:w="2722" w:type="dxa"/>
            <w:vAlign w:val="center"/>
          </w:tcPr>
          <w:p w:rsidR="005B0B91" w:rsidRPr="00BA13B7" w:rsidRDefault="005B0B91" w:rsidP="00023F3C">
            <w:r>
              <w:t>13420 Van Nuys Blvd., #221 Pacoima, 91331</w:t>
            </w:r>
          </w:p>
        </w:tc>
        <w:sdt>
          <w:sdtPr>
            <w:id w:val="1769811377"/>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088270279"/>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838769879"/>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2089450170"/>
            <w14:checkbox>
              <w14:checked w14:val="1"/>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898714772"/>
            <w14:checkbox>
              <w14:checked w14:val="0"/>
              <w14:checkedState w14:val="2612" w14:font="MS Gothic"/>
              <w14:uncheckedState w14:val="2610" w14:font="MS Gothic"/>
            </w14:checkbox>
          </w:sdtPr>
          <w:sdtEndPr/>
          <w:sdtContent>
            <w:tc>
              <w:tcPr>
                <w:tcW w:w="559"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545262698"/>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914302273"/>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204247636"/>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tc>
          <w:tcPr>
            <w:tcW w:w="2692" w:type="dxa"/>
            <w:vAlign w:val="center"/>
          </w:tcPr>
          <w:p w:rsidR="005B0B91" w:rsidRPr="00BA13B7" w:rsidRDefault="005B0B91" w:rsidP="005B0B91"/>
        </w:tc>
      </w:tr>
      <w:tr w:rsidR="005B0B91" w:rsidRPr="00BA13B7" w:rsidTr="00023F3C">
        <w:trPr>
          <w:trHeight w:val="432"/>
        </w:trPr>
        <w:tc>
          <w:tcPr>
            <w:tcW w:w="3150" w:type="dxa"/>
            <w:vAlign w:val="center"/>
          </w:tcPr>
          <w:p w:rsidR="005B0B91" w:rsidRPr="00BA13B7" w:rsidRDefault="005B0B91" w:rsidP="007D0EB0">
            <w:r w:rsidRPr="00BA13B7">
              <w:t>Rio Hondo Comprehensive AJCC</w:t>
            </w:r>
          </w:p>
        </w:tc>
        <w:tc>
          <w:tcPr>
            <w:tcW w:w="2016" w:type="dxa"/>
            <w:vAlign w:val="center"/>
          </w:tcPr>
          <w:p w:rsidR="005B0B91" w:rsidRPr="00BA13B7" w:rsidRDefault="005B0B91" w:rsidP="005B0B91">
            <w:r w:rsidRPr="00BA13B7">
              <w:t>AJCC</w:t>
            </w:r>
          </w:p>
        </w:tc>
        <w:tc>
          <w:tcPr>
            <w:tcW w:w="2722" w:type="dxa"/>
            <w:vAlign w:val="center"/>
          </w:tcPr>
          <w:p w:rsidR="005B0B91" w:rsidRPr="00BA13B7" w:rsidRDefault="005B0B91" w:rsidP="00023F3C">
            <w:r>
              <w:t>10400 Pioneer Blvd., #9 Santa Fe Springs, 90670</w:t>
            </w:r>
          </w:p>
        </w:tc>
        <w:sdt>
          <w:sdtPr>
            <w:id w:val="994994430"/>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133363591"/>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856423032"/>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838191786"/>
            <w14:checkbox>
              <w14:checked w14:val="1"/>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822187848"/>
            <w14:checkbox>
              <w14:checked w14:val="0"/>
              <w14:checkedState w14:val="2612" w14:font="MS Gothic"/>
              <w14:uncheckedState w14:val="2610" w14:font="MS Gothic"/>
            </w14:checkbox>
          </w:sdtPr>
          <w:sdtEndPr/>
          <w:sdtContent>
            <w:tc>
              <w:tcPr>
                <w:tcW w:w="559"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272522523"/>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789428389"/>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679694877"/>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tc>
          <w:tcPr>
            <w:tcW w:w="2692" w:type="dxa"/>
            <w:vAlign w:val="center"/>
          </w:tcPr>
          <w:p w:rsidR="005B0B91" w:rsidRPr="00BA13B7" w:rsidRDefault="005B0B91" w:rsidP="005B0B91"/>
        </w:tc>
      </w:tr>
      <w:tr w:rsidR="005B0B91" w:rsidRPr="00BA13B7" w:rsidTr="00023F3C">
        <w:trPr>
          <w:trHeight w:val="432"/>
        </w:trPr>
        <w:tc>
          <w:tcPr>
            <w:tcW w:w="3150" w:type="dxa"/>
            <w:vAlign w:val="center"/>
          </w:tcPr>
          <w:p w:rsidR="005B0B91" w:rsidRPr="00BA13B7" w:rsidRDefault="005B0B91" w:rsidP="007D0EB0">
            <w:r w:rsidRPr="00BA13B7">
              <w:t>Rancho Dominguez Comprehensive AJCC</w:t>
            </w:r>
          </w:p>
        </w:tc>
        <w:tc>
          <w:tcPr>
            <w:tcW w:w="2016" w:type="dxa"/>
            <w:vAlign w:val="center"/>
          </w:tcPr>
          <w:p w:rsidR="005B0B91" w:rsidRPr="00BA13B7" w:rsidRDefault="005B0B91" w:rsidP="005B0B91">
            <w:r w:rsidRPr="00BA13B7">
              <w:t>AJCC</w:t>
            </w:r>
          </w:p>
        </w:tc>
        <w:tc>
          <w:tcPr>
            <w:tcW w:w="2722" w:type="dxa"/>
            <w:vAlign w:val="center"/>
          </w:tcPr>
          <w:p w:rsidR="005B0B91" w:rsidRPr="00BA13B7" w:rsidRDefault="005B0B91" w:rsidP="00023F3C">
            <w:r>
              <w:t>2909 E. Pacific Commerce Dr., Paramount, 90273</w:t>
            </w:r>
          </w:p>
        </w:tc>
        <w:sdt>
          <w:sdtPr>
            <w:id w:val="1323540804"/>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215860097"/>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731913318"/>
            <w14:checkbox>
              <w14:checked w14:val="0"/>
              <w14:checkedState w14:val="2612" w14:font="MS Gothic"/>
              <w14:uncheckedState w14:val="2610" w14:font="MS Gothic"/>
            </w14:checkbox>
          </w:sdtPr>
          <w:sdtEndPr/>
          <w:sdtContent>
            <w:tc>
              <w:tcPr>
                <w:tcW w:w="503" w:type="dxa"/>
                <w:vAlign w:val="center"/>
              </w:tcPr>
              <w:p w:rsidR="005B0B91" w:rsidRPr="00BA13B7" w:rsidRDefault="00023F3C" w:rsidP="005B0B91">
                <w:pPr>
                  <w:jc w:val="center"/>
                </w:pPr>
                <w:r>
                  <w:rPr>
                    <w:rFonts w:ascii="MS Gothic" w:eastAsia="MS Gothic" w:hAnsi="MS Gothic" w:hint="eastAsia"/>
                  </w:rPr>
                  <w:t>☐</w:t>
                </w:r>
              </w:p>
            </w:tc>
          </w:sdtContent>
        </w:sdt>
        <w:sdt>
          <w:sdtPr>
            <w:id w:val="1790711455"/>
            <w14:checkbox>
              <w14:checked w14:val="1"/>
              <w14:checkedState w14:val="2612" w14:font="MS Gothic"/>
              <w14:uncheckedState w14:val="2610" w14:font="MS Gothic"/>
            </w14:checkbox>
          </w:sdtPr>
          <w:sdtEndPr/>
          <w:sdtContent>
            <w:tc>
              <w:tcPr>
                <w:tcW w:w="504" w:type="dxa"/>
                <w:vAlign w:val="center"/>
              </w:tcPr>
              <w:p w:rsidR="005B0B91" w:rsidRPr="00BA13B7" w:rsidRDefault="00023F3C" w:rsidP="005B0B91">
                <w:pPr>
                  <w:jc w:val="center"/>
                </w:pPr>
                <w:r>
                  <w:rPr>
                    <w:rFonts w:ascii="MS Gothic" w:eastAsia="MS Gothic" w:hAnsi="MS Gothic" w:hint="eastAsia"/>
                  </w:rPr>
                  <w:t>☒</w:t>
                </w:r>
              </w:p>
            </w:tc>
          </w:sdtContent>
        </w:sdt>
        <w:sdt>
          <w:sdtPr>
            <w:id w:val="639156976"/>
            <w14:checkbox>
              <w14:checked w14:val="0"/>
              <w14:checkedState w14:val="2612" w14:font="MS Gothic"/>
              <w14:uncheckedState w14:val="2610" w14:font="MS Gothic"/>
            </w14:checkbox>
          </w:sdtPr>
          <w:sdtEndPr/>
          <w:sdtContent>
            <w:tc>
              <w:tcPr>
                <w:tcW w:w="559"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501748885"/>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016929454"/>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897314361"/>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tc>
          <w:tcPr>
            <w:tcW w:w="2692" w:type="dxa"/>
            <w:vAlign w:val="center"/>
          </w:tcPr>
          <w:p w:rsidR="005B0B91" w:rsidRPr="00BA13B7" w:rsidRDefault="005B0B91" w:rsidP="005B0B91"/>
        </w:tc>
      </w:tr>
      <w:tr w:rsidR="005B0B91" w:rsidRPr="00BA13B7" w:rsidTr="00023F3C">
        <w:trPr>
          <w:trHeight w:val="432"/>
        </w:trPr>
        <w:tc>
          <w:tcPr>
            <w:tcW w:w="3150" w:type="dxa"/>
            <w:vAlign w:val="center"/>
          </w:tcPr>
          <w:p w:rsidR="005B0B91" w:rsidRPr="00BA13B7" w:rsidRDefault="005B0B91" w:rsidP="007D0EB0">
            <w:r w:rsidRPr="00BA13B7">
              <w:t>Veterans AJCC</w:t>
            </w:r>
          </w:p>
        </w:tc>
        <w:tc>
          <w:tcPr>
            <w:tcW w:w="2016" w:type="dxa"/>
            <w:vAlign w:val="center"/>
          </w:tcPr>
          <w:p w:rsidR="005B0B91" w:rsidRPr="00BA13B7" w:rsidRDefault="005B0B91" w:rsidP="005B0B91">
            <w:r w:rsidRPr="00BA13B7">
              <w:t>AJCC</w:t>
            </w:r>
          </w:p>
        </w:tc>
        <w:tc>
          <w:tcPr>
            <w:tcW w:w="2722" w:type="dxa"/>
            <w:vAlign w:val="center"/>
          </w:tcPr>
          <w:p w:rsidR="005B0B91" w:rsidRPr="00BA13B7" w:rsidRDefault="005B0B91" w:rsidP="00023F3C">
            <w:r>
              <w:t>1816 South Figueroa St., Los Angeles, 90015</w:t>
            </w:r>
          </w:p>
        </w:tc>
        <w:sdt>
          <w:sdtPr>
            <w:id w:val="1494299161"/>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264881722"/>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730801413"/>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58982257"/>
            <w14:checkbox>
              <w14:checked w14:val="1"/>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265845365"/>
            <w14:checkbox>
              <w14:checked w14:val="0"/>
              <w14:checkedState w14:val="2612" w14:font="MS Gothic"/>
              <w14:uncheckedState w14:val="2610" w14:font="MS Gothic"/>
            </w14:checkbox>
          </w:sdtPr>
          <w:sdtEndPr/>
          <w:sdtContent>
            <w:tc>
              <w:tcPr>
                <w:tcW w:w="559"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852106921"/>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081030139"/>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041640727"/>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tc>
          <w:tcPr>
            <w:tcW w:w="2692" w:type="dxa"/>
            <w:vAlign w:val="center"/>
          </w:tcPr>
          <w:p w:rsidR="005B0B91" w:rsidRPr="00BA13B7" w:rsidRDefault="005B0B91" w:rsidP="005B0B91"/>
        </w:tc>
      </w:tr>
      <w:tr w:rsidR="005B0B91" w:rsidRPr="00BA13B7" w:rsidTr="00023F3C">
        <w:trPr>
          <w:trHeight w:val="432"/>
        </w:trPr>
        <w:tc>
          <w:tcPr>
            <w:tcW w:w="3150" w:type="dxa"/>
            <w:vAlign w:val="center"/>
          </w:tcPr>
          <w:p w:rsidR="005B0B91" w:rsidRPr="00BA13B7" w:rsidRDefault="005B0B91" w:rsidP="007D0EB0">
            <w:r w:rsidRPr="00BA13B7">
              <w:lastRenderedPageBreak/>
              <w:t>East L.A. / West San Gabriel Valley Comprehensive AJCC</w:t>
            </w:r>
          </w:p>
        </w:tc>
        <w:tc>
          <w:tcPr>
            <w:tcW w:w="2016" w:type="dxa"/>
            <w:vAlign w:val="center"/>
          </w:tcPr>
          <w:p w:rsidR="005B0B91" w:rsidRPr="00BA13B7" w:rsidRDefault="005B0B91" w:rsidP="005B0B91">
            <w:r w:rsidRPr="00BA13B7">
              <w:t>AJCC</w:t>
            </w:r>
          </w:p>
        </w:tc>
        <w:tc>
          <w:tcPr>
            <w:tcW w:w="2722" w:type="dxa"/>
            <w:vAlign w:val="center"/>
          </w:tcPr>
          <w:p w:rsidR="005B0B91" w:rsidRPr="00BA13B7" w:rsidRDefault="005B0B91" w:rsidP="00023F3C">
            <w:r>
              <w:t>5301 Whittier Blvd., 2</w:t>
            </w:r>
            <w:r w:rsidRPr="009A3D0D">
              <w:rPr>
                <w:vertAlign w:val="superscript"/>
              </w:rPr>
              <w:t>nd</w:t>
            </w:r>
            <w:r>
              <w:t xml:space="preserve"> Floor, Los Angeles, 90022</w:t>
            </w:r>
          </w:p>
        </w:tc>
        <w:sdt>
          <w:sdtPr>
            <w:id w:val="718944697"/>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237235084"/>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793277872"/>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494923623"/>
            <w14:checkbox>
              <w14:checked w14:val="1"/>
              <w14:checkedState w14:val="2612" w14:font="MS Gothic"/>
              <w14:uncheckedState w14:val="2610" w14:font="MS Gothic"/>
            </w14:checkbox>
          </w:sdtPr>
          <w:sdtEndPr/>
          <w:sdtContent>
            <w:tc>
              <w:tcPr>
                <w:tcW w:w="504" w:type="dxa"/>
                <w:vAlign w:val="center"/>
              </w:tcPr>
              <w:p w:rsidR="005B0B91" w:rsidRPr="00BA13B7" w:rsidRDefault="00023F3C" w:rsidP="005B0B91">
                <w:pPr>
                  <w:jc w:val="center"/>
                </w:pPr>
                <w:r>
                  <w:rPr>
                    <w:rFonts w:ascii="MS Gothic" w:eastAsia="MS Gothic" w:hAnsi="MS Gothic" w:hint="eastAsia"/>
                  </w:rPr>
                  <w:t>☒</w:t>
                </w:r>
              </w:p>
            </w:tc>
          </w:sdtContent>
        </w:sdt>
        <w:sdt>
          <w:sdtPr>
            <w:id w:val="-1592467188"/>
            <w14:checkbox>
              <w14:checked w14:val="0"/>
              <w14:checkedState w14:val="2612" w14:font="MS Gothic"/>
              <w14:uncheckedState w14:val="2610" w14:font="MS Gothic"/>
            </w14:checkbox>
          </w:sdtPr>
          <w:sdtEndPr/>
          <w:sdtContent>
            <w:tc>
              <w:tcPr>
                <w:tcW w:w="559"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18191347"/>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363519831"/>
            <w14:checkbox>
              <w14:checked w14:val="0"/>
              <w14:checkedState w14:val="2612" w14:font="MS Gothic"/>
              <w14:uncheckedState w14:val="2610" w14:font="MS Gothic"/>
            </w14:checkbox>
          </w:sdtPr>
          <w:sdtEndPr/>
          <w:sdtContent>
            <w:tc>
              <w:tcPr>
                <w:tcW w:w="503"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sdt>
          <w:sdtPr>
            <w:id w:val="1172452193"/>
            <w14:checkbox>
              <w14:checked w14:val="0"/>
              <w14:checkedState w14:val="2612" w14:font="MS Gothic"/>
              <w14:uncheckedState w14:val="2610" w14:font="MS Gothic"/>
            </w14:checkbox>
          </w:sdtPr>
          <w:sdtEndPr/>
          <w:sdtContent>
            <w:tc>
              <w:tcPr>
                <w:tcW w:w="504" w:type="dxa"/>
                <w:vAlign w:val="center"/>
              </w:tcPr>
              <w:p w:rsidR="005B0B91" w:rsidRPr="00BA13B7" w:rsidRDefault="005B0B91" w:rsidP="005B0B91">
                <w:pPr>
                  <w:jc w:val="center"/>
                </w:pPr>
                <w:r w:rsidRPr="00BA13B7">
                  <w:rPr>
                    <w:rFonts w:ascii="Segoe UI Symbol" w:eastAsia="MS Gothic" w:hAnsi="Segoe UI Symbol" w:cs="Segoe UI Symbol"/>
                  </w:rPr>
                  <w:t>☐</w:t>
                </w:r>
              </w:p>
            </w:tc>
          </w:sdtContent>
        </w:sdt>
        <w:tc>
          <w:tcPr>
            <w:tcW w:w="2692" w:type="dxa"/>
            <w:vAlign w:val="center"/>
          </w:tcPr>
          <w:p w:rsidR="005B0B91" w:rsidRPr="00BA13B7" w:rsidRDefault="005B0B91" w:rsidP="005B0B91"/>
        </w:tc>
      </w:tr>
      <w:tr w:rsidR="00023F3C" w:rsidRPr="00BA13B7" w:rsidTr="00023F3C">
        <w:trPr>
          <w:trHeight w:val="432"/>
        </w:trPr>
        <w:tc>
          <w:tcPr>
            <w:tcW w:w="3150" w:type="dxa"/>
            <w:vAlign w:val="center"/>
          </w:tcPr>
          <w:p w:rsidR="00023F3C" w:rsidRPr="00BA13B7" w:rsidRDefault="00023F3C" w:rsidP="00023F3C">
            <w:r>
              <w:t xml:space="preserve">San Gabriel Valley </w:t>
            </w:r>
            <w:r w:rsidRPr="00BA13B7">
              <w:t>GAIN</w:t>
            </w:r>
            <w:r>
              <w:t xml:space="preserve"> Center</w:t>
            </w:r>
          </w:p>
        </w:tc>
        <w:tc>
          <w:tcPr>
            <w:tcW w:w="2016" w:type="dxa"/>
            <w:vAlign w:val="center"/>
          </w:tcPr>
          <w:p w:rsidR="00023F3C" w:rsidRPr="00BA13B7" w:rsidRDefault="00023F3C" w:rsidP="00023F3C">
            <w:r>
              <w:rPr>
                <w:rFonts w:cs="Times New Roman"/>
              </w:rPr>
              <w:t>Employment-related services for CalWorks clients</w:t>
            </w:r>
          </w:p>
        </w:tc>
        <w:tc>
          <w:tcPr>
            <w:tcW w:w="2722" w:type="dxa"/>
            <w:vAlign w:val="center"/>
          </w:tcPr>
          <w:p w:rsidR="00023F3C" w:rsidRDefault="00023F3C" w:rsidP="00023F3C">
            <w:r>
              <w:t>3216 Rosemead Blvd., El Monte, 91713</w:t>
            </w:r>
          </w:p>
        </w:tc>
        <w:sdt>
          <w:sdtPr>
            <w:id w:val="501097617"/>
            <w14:checkbox>
              <w14:checked w14:val="0"/>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Pr>
                    <w:rFonts w:ascii="MS Gothic" w:eastAsia="MS Gothic" w:hAnsi="MS Gothic" w:hint="eastAsia"/>
                  </w:rPr>
                  <w:t>☐</w:t>
                </w:r>
              </w:p>
            </w:tc>
          </w:sdtContent>
        </w:sdt>
        <w:sdt>
          <w:sdtPr>
            <w:id w:val="624896106"/>
            <w14:checkbox>
              <w14:checked w14:val="0"/>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948084825"/>
            <w14:checkbox>
              <w14:checked w14:val="0"/>
              <w14:checkedState w14:val="2612" w14:font="MS Gothic"/>
              <w14:uncheckedState w14:val="2610" w14:font="MS Gothic"/>
            </w14:checkbox>
          </w:sdtPr>
          <w:sdtEndPr/>
          <w:sdtContent>
            <w:tc>
              <w:tcPr>
                <w:tcW w:w="503"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232471378"/>
            <w14:checkbox>
              <w14:checked w14:val="1"/>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Pr>
                    <w:rFonts w:ascii="MS Gothic" w:eastAsia="MS Gothic" w:hAnsi="MS Gothic" w:hint="eastAsia"/>
                  </w:rPr>
                  <w:t>☒</w:t>
                </w:r>
              </w:p>
            </w:tc>
          </w:sdtContent>
        </w:sdt>
        <w:sdt>
          <w:sdtPr>
            <w:id w:val="-1124846919"/>
            <w14:checkbox>
              <w14:checked w14:val="0"/>
              <w14:checkedState w14:val="2612" w14:font="MS Gothic"/>
              <w14:uncheckedState w14:val="2610" w14:font="MS Gothic"/>
            </w14:checkbox>
          </w:sdtPr>
          <w:sdtEndPr/>
          <w:sdtContent>
            <w:tc>
              <w:tcPr>
                <w:tcW w:w="559"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985280821"/>
            <w14:checkbox>
              <w14:checked w14:val="1"/>
              <w14:checkedState w14:val="2612" w14:font="MS Gothic"/>
              <w14:uncheckedState w14:val="2610" w14:font="MS Gothic"/>
            </w14:checkbox>
          </w:sdtPr>
          <w:sdtEndPr/>
          <w:sdtContent>
            <w:tc>
              <w:tcPr>
                <w:tcW w:w="504" w:type="dxa"/>
                <w:vAlign w:val="center"/>
              </w:tcPr>
              <w:p w:rsidR="00023F3C" w:rsidRPr="00BA13B7" w:rsidRDefault="00F12BFB" w:rsidP="00023F3C">
                <w:pPr>
                  <w:jc w:val="center"/>
                </w:pPr>
                <w:r>
                  <w:rPr>
                    <w:rFonts w:ascii="MS Gothic" w:eastAsia="MS Gothic" w:hAnsi="MS Gothic" w:hint="eastAsia"/>
                  </w:rPr>
                  <w:t>☒</w:t>
                </w:r>
              </w:p>
            </w:tc>
          </w:sdtContent>
        </w:sdt>
        <w:sdt>
          <w:sdtPr>
            <w:id w:val="66465545"/>
            <w14:checkbox>
              <w14:checked w14:val="0"/>
              <w14:checkedState w14:val="2612" w14:font="MS Gothic"/>
              <w14:uncheckedState w14:val="2610" w14:font="MS Gothic"/>
            </w14:checkbox>
          </w:sdtPr>
          <w:sdtEndPr/>
          <w:sdtContent>
            <w:tc>
              <w:tcPr>
                <w:tcW w:w="503"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1140339386"/>
            <w14:checkbox>
              <w14:checked w14:val="0"/>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tc>
          <w:tcPr>
            <w:tcW w:w="2692" w:type="dxa"/>
            <w:vAlign w:val="center"/>
          </w:tcPr>
          <w:p w:rsidR="00023F3C" w:rsidRPr="00BA13B7" w:rsidRDefault="00023F3C" w:rsidP="00023F3C"/>
        </w:tc>
      </w:tr>
      <w:tr w:rsidR="00023F3C" w:rsidRPr="00BA13B7" w:rsidTr="00023F3C">
        <w:trPr>
          <w:trHeight w:val="432"/>
        </w:trPr>
        <w:tc>
          <w:tcPr>
            <w:tcW w:w="3150" w:type="dxa"/>
            <w:vAlign w:val="center"/>
          </w:tcPr>
          <w:p w:rsidR="00023F3C" w:rsidRPr="00BA13B7" w:rsidRDefault="00023F3C" w:rsidP="00023F3C">
            <w:r w:rsidRPr="00BA13B7">
              <w:t>Department of Rehab</w:t>
            </w:r>
          </w:p>
        </w:tc>
        <w:tc>
          <w:tcPr>
            <w:tcW w:w="2016" w:type="dxa"/>
            <w:vAlign w:val="center"/>
          </w:tcPr>
          <w:p w:rsidR="00023F3C" w:rsidRPr="00BA13B7" w:rsidRDefault="00023F3C" w:rsidP="00023F3C">
            <w:r>
              <w:t>Services for disabled people</w:t>
            </w:r>
          </w:p>
        </w:tc>
        <w:tc>
          <w:tcPr>
            <w:tcW w:w="2722" w:type="dxa"/>
            <w:vAlign w:val="center"/>
          </w:tcPr>
          <w:p w:rsidR="00023F3C" w:rsidRPr="00BA13B7" w:rsidRDefault="00023F3C" w:rsidP="00023F3C">
            <w:r>
              <w:t>150 S. Los Robles Ave., #300, Pasadena, 91101</w:t>
            </w:r>
          </w:p>
        </w:tc>
        <w:sdt>
          <w:sdtPr>
            <w:id w:val="392621879"/>
            <w14:checkbox>
              <w14:checked w14:val="0"/>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Pr>
                    <w:rFonts w:ascii="MS Gothic" w:eastAsia="MS Gothic" w:hAnsi="MS Gothic" w:hint="eastAsia"/>
                  </w:rPr>
                  <w:t>☐</w:t>
                </w:r>
              </w:p>
            </w:tc>
          </w:sdtContent>
        </w:sdt>
        <w:sdt>
          <w:sdtPr>
            <w:id w:val="2023819199"/>
            <w14:checkbox>
              <w14:checked w14:val="0"/>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1824313066"/>
            <w14:checkbox>
              <w14:checked w14:val="0"/>
              <w14:checkedState w14:val="2612" w14:font="MS Gothic"/>
              <w14:uncheckedState w14:val="2610" w14:font="MS Gothic"/>
            </w14:checkbox>
          </w:sdtPr>
          <w:sdtEndPr/>
          <w:sdtContent>
            <w:tc>
              <w:tcPr>
                <w:tcW w:w="503"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1323467304"/>
            <w14:checkbox>
              <w14:checked w14:val="1"/>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Pr>
                    <w:rFonts w:ascii="MS Gothic" w:eastAsia="MS Gothic" w:hAnsi="MS Gothic" w:hint="eastAsia"/>
                  </w:rPr>
                  <w:t>☒</w:t>
                </w:r>
              </w:p>
            </w:tc>
          </w:sdtContent>
        </w:sdt>
        <w:sdt>
          <w:sdtPr>
            <w:id w:val="-1624371889"/>
            <w14:checkbox>
              <w14:checked w14:val="1"/>
              <w14:checkedState w14:val="2612" w14:font="MS Gothic"/>
              <w14:uncheckedState w14:val="2610" w14:font="MS Gothic"/>
            </w14:checkbox>
          </w:sdtPr>
          <w:sdtEndPr/>
          <w:sdtContent>
            <w:tc>
              <w:tcPr>
                <w:tcW w:w="559" w:type="dxa"/>
                <w:vAlign w:val="center"/>
              </w:tcPr>
              <w:p w:rsidR="00023F3C" w:rsidRPr="00BA13B7" w:rsidRDefault="00153241" w:rsidP="00023F3C">
                <w:pPr>
                  <w:jc w:val="center"/>
                </w:pPr>
                <w:r>
                  <w:rPr>
                    <w:rFonts w:ascii="MS Gothic" w:eastAsia="MS Gothic" w:hAnsi="MS Gothic" w:hint="eastAsia"/>
                  </w:rPr>
                  <w:t>☒</w:t>
                </w:r>
              </w:p>
            </w:tc>
          </w:sdtContent>
        </w:sdt>
        <w:sdt>
          <w:sdtPr>
            <w:id w:val="-545909306"/>
            <w14:checkbox>
              <w14:checked w14:val="1"/>
              <w14:checkedState w14:val="2612" w14:font="MS Gothic"/>
              <w14:uncheckedState w14:val="2610" w14:font="MS Gothic"/>
            </w14:checkbox>
          </w:sdtPr>
          <w:sdtEndPr/>
          <w:sdtContent>
            <w:tc>
              <w:tcPr>
                <w:tcW w:w="504" w:type="dxa"/>
                <w:vAlign w:val="center"/>
              </w:tcPr>
              <w:p w:rsidR="00023F3C" w:rsidRPr="00BA13B7" w:rsidRDefault="00F12BFB" w:rsidP="00023F3C">
                <w:pPr>
                  <w:jc w:val="center"/>
                </w:pPr>
                <w:r>
                  <w:rPr>
                    <w:rFonts w:ascii="MS Gothic" w:eastAsia="MS Gothic" w:hAnsi="MS Gothic" w:hint="eastAsia"/>
                  </w:rPr>
                  <w:t>☒</w:t>
                </w:r>
              </w:p>
            </w:tc>
          </w:sdtContent>
        </w:sdt>
        <w:sdt>
          <w:sdtPr>
            <w:id w:val="-1548526505"/>
            <w14:checkbox>
              <w14:checked w14:val="0"/>
              <w14:checkedState w14:val="2612" w14:font="MS Gothic"/>
              <w14:uncheckedState w14:val="2610" w14:font="MS Gothic"/>
            </w14:checkbox>
          </w:sdtPr>
          <w:sdtEndPr/>
          <w:sdtContent>
            <w:tc>
              <w:tcPr>
                <w:tcW w:w="503"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1119682957"/>
            <w14:checkbox>
              <w14:checked w14:val="0"/>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tc>
          <w:tcPr>
            <w:tcW w:w="2692" w:type="dxa"/>
            <w:vAlign w:val="center"/>
          </w:tcPr>
          <w:p w:rsidR="00023F3C" w:rsidRPr="00BA13B7" w:rsidRDefault="00023F3C" w:rsidP="00023F3C"/>
        </w:tc>
      </w:tr>
      <w:tr w:rsidR="00023F3C" w:rsidRPr="00BA13B7" w:rsidTr="00023F3C">
        <w:trPr>
          <w:trHeight w:val="432"/>
        </w:trPr>
        <w:tc>
          <w:tcPr>
            <w:tcW w:w="3150" w:type="dxa"/>
            <w:vAlign w:val="center"/>
          </w:tcPr>
          <w:p w:rsidR="00023F3C" w:rsidRPr="00BA13B7" w:rsidRDefault="007B6D98" w:rsidP="00023F3C">
            <w:r>
              <w:t>San Gabriel Valley Economic Partnership</w:t>
            </w:r>
          </w:p>
        </w:tc>
        <w:tc>
          <w:tcPr>
            <w:tcW w:w="2016" w:type="dxa"/>
            <w:vAlign w:val="center"/>
          </w:tcPr>
          <w:p w:rsidR="00023F3C" w:rsidRPr="00BA13B7" w:rsidRDefault="007B6D98" w:rsidP="00023F3C">
            <w:r>
              <w:t>Regional economic data</w:t>
            </w:r>
          </w:p>
        </w:tc>
        <w:tc>
          <w:tcPr>
            <w:tcW w:w="2722" w:type="dxa"/>
            <w:vAlign w:val="center"/>
          </w:tcPr>
          <w:p w:rsidR="00023F3C" w:rsidRPr="007B6D98" w:rsidRDefault="007B6D98" w:rsidP="007B6D98">
            <w:r w:rsidRPr="007B6D98">
              <w:t xml:space="preserve">4900 </w:t>
            </w:r>
            <w:proofErr w:type="spellStart"/>
            <w:r w:rsidRPr="007B6D98">
              <w:t>Rivergrade</w:t>
            </w:r>
            <w:proofErr w:type="spellEnd"/>
            <w:r w:rsidRPr="007B6D98">
              <w:t xml:space="preserve"> Rd</w:t>
            </w:r>
            <w:r>
              <w:t>.,</w:t>
            </w:r>
            <w:r w:rsidRPr="007B6D98">
              <w:t xml:space="preserve"> B130, Irwindale, CA 91706</w:t>
            </w:r>
          </w:p>
        </w:tc>
        <w:sdt>
          <w:sdtPr>
            <w:id w:val="436874834"/>
            <w14:checkbox>
              <w14:checked w14:val="0"/>
              <w14:checkedState w14:val="2612" w14:font="MS Gothic"/>
              <w14:uncheckedState w14:val="2610" w14:font="MS Gothic"/>
            </w14:checkbox>
          </w:sdtPr>
          <w:sdtEndPr/>
          <w:sdtContent>
            <w:tc>
              <w:tcPr>
                <w:tcW w:w="504" w:type="dxa"/>
                <w:vAlign w:val="center"/>
              </w:tcPr>
              <w:p w:rsidR="00023F3C" w:rsidRPr="00BA13B7" w:rsidRDefault="00F12BFB" w:rsidP="00023F3C">
                <w:pPr>
                  <w:jc w:val="center"/>
                </w:pPr>
                <w:r>
                  <w:rPr>
                    <w:rFonts w:ascii="MS Gothic" w:eastAsia="MS Gothic" w:hAnsi="MS Gothic" w:hint="eastAsia"/>
                  </w:rPr>
                  <w:t>☐</w:t>
                </w:r>
              </w:p>
            </w:tc>
          </w:sdtContent>
        </w:sdt>
        <w:sdt>
          <w:sdtPr>
            <w:id w:val="1519581926"/>
            <w14:checkbox>
              <w14:checked w14:val="0"/>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936359817"/>
            <w14:checkbox>
              <w14:checked w14:val="0"/>
              <w14:checkedState w14:val="2612" w14:font="MS Gothic"/>
              <w14:uncheckedState w14:val="2610" w14:font="MS Gothic"/>
            </w14:checkbox>
          </w:sdtPr>
          <w:sdtEndPr/>
          <w:sdtContent>
            <w:tc>
              <w:tcPr>
                <w:tcW w:w="503"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1430164057"/>
            <w14:checkbox>
              <w14:checked w14:val="1"/>
              <w14:checkedState w14:val="2612" w14:font="MS Gothic"/>
              <w14:uncheckedState w14:val="2610" w14:font="MS Gothic"/>
            </w14:checkbox>
          </w:sdtPr>
          <w:sdtEndPr/>
          <w:sdtContent>
            <w:tc>
              <w:tcPr>
                <w:tcW w:w="504" w:type="dxa"/>
                <w:vAlign w:val="center"/>
              </w:tcPr>
              <w:p w:rsidR="00023F3C" w:rsidRPr="00BA13B7" w:rsidRDefault="007B6D98" w:rsidP="00023F3C">
                <w:pPr>
                  <w:jc w:val="center"/>
                </w:pPr>
                <w:r>
                  <w:rPr>
                    <w:rFonts w:ascii="MS Gothic" w:eastAsia="MS Gothic" w:hAnsi="MS Gothic" w:hint="eastAsia"/>
                  </w:rPr>
                  <w:t>☒</w:t>
                </w:r>
              </w:p>
            </w:tc>
          </w:sdtContent>
        </w:sdt>
        <w:sdt>
          <w:sdtPr>
            <w:id w:val="-858426198"/>
            <w14:checkbox>
              <w14:checked w14:val="0"/>
              <w14:checkedState w14:val="2612" w14:font="MS Gothic"/>
              <w14:uncheckedState w14:val="2610" w14:font="MS Gothic"/>
            </w14:checkbox>
          </w:sdtPr>
          <w:sdtEndPr/>
          <w:sdtContent>
            <w:tc>
              <w:tcPr>
                <w:tcW w:w="559"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237180265"/>
            <w14:checkbox>
              <w14:checked w14:val="0"/>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111868330"/>
            <w14:checkbox>
              <w14:checked w14:val="0"/>
              <w14:checkedState w14:val="2612" w14:font="MS Gothic"/>
              <w14:uncheckedState w14:val="2610" w14:font="MS Gothic"/>
            </w14:checkbox>
          </w:sdtPr>
          <w:sdtEndPr/>
          <w:sdtContent>
            <w:tc>
              <w:tcPr>
                <w:tcW w:w="503"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sdt>
          <w:sdtPr>
            <w:id w:val="1328945925"/>
            <w14:checkbox>
              <w14:checked w14:val="0"/>
              <w14:checkedState w14:val="2612" w14:font="MS Gothic"/>
              <w14:uncheckedState w14:val="2610" w14:font="MS Gothic"/>
            </w14:checkbox>
          </w:sdtPr>
          <w:sdtEndPr/>
          <w:sdtContent>
            <w:tc>
              <w:tcPr>
                <w:tcW w:w="504" w:type="dxa"/>
                <w:vAlign w:val="center"/>
              </w:tcPr>
              <w:p w:rsidR="00023F3C" w:rsidRPr="00BA13B7" w:rsidRDefault="00023F3C" w:rsidP="00023F3C">
                <w:pPr>
                  <w:jc w:val="center"/>
                </w:pPr>
                <w:r w:rsidRPr="00BA13B7">
                  <w:rPr>
                    <w:rFonts w:ascii="Segoe UI Symbol" w:eastAsia="MS Gothic" w:hAnsi="Segoe UI Symbol" w:cs="Segoe UI Symbol"/>
                  </w:rPr>
                  <w:t>☐</w:t>
                </w:r>
              </w:p>
            </w:tc>
          </w:sdtContent>
        </w:sdt>
        <w:tc>
          <w:tcPr>
            <w:tcW w:w="2692" w:type="dxa"/>
            <w:vAlign w:val="center"/>
          </w:tcPr>
          <w:p w:rsidR="00023F3C" w:rsidRPr="00BA13B7" w:rsidRDefault="00023F3C" w:rsidP="00023F3C"/>
        </w:tc>
      </w:tr>
      <w:tr w:rsidR="00F12BFB" w:rsidRPr="00BA13B7" w:rsidTr="00023F3C">
        <w:trPr>
          <w:trHeight w:val="432"/>
        </w:trPr>
        <w:tc>
          <w:tcPr>
            <w:tcW w:w="3150" w:type="dxa"/>
            <w:vAlign w:val="center"/>
          </w:tcPr>
          <w:p w:rsidR="00F12BFB" w:rsidRDefault="00F12BFB" w:rsidP="00F12BFB">
            <w:r>
              <w:t>Monrovia Chamber of Commerce</w:t>
            </w:r>
          </w:p>
        </w:tc>
        <w:tc>
          <w:tcPr>
            <w:tcW w:w="2016" w:type="dxa"/>
            <w:vAlign w:val="center"/>
          </w:tcPr>
          <w:p w:rsidR="00F12BFB" w:rsidRDefault="00F12BFB" w:rsidP="00F12BFB">
            <w:pPr>
              <w:rPr>
                <w:rFonts w:cs="Times New Roman"/>
              </w:rPr>
            </w:pPr>
            <w:r>
              <w:rPr>
                <w:rFonts w:cs="Times New Roman"/>
              </w:rPr>
              <w:t>Regional business contacts</w:t>
            </w:r>
          </w:p>
        </w:tc>
        <w:tc>
          <w:tcPr>
            <w:tcW w:w="2722" w:type="dxa"/>
            <w:vAlign w:val="center"/>
          </w:tcPr>
          <w:p w:rsidR="00F12BFB" w:rsidRDefault="008B6FF7" w:rsidP="00F12BFB">
            <w:r>
              <w:t>620 S. Myrtle Ave., Monrovia, 91016</w:t>
            </w:r>
          </w:p>
        </w:tc>
        <w:sdt>
          <w:sdtPr>
            <w:id w:val="-1974675331"/>
            <w14:checkbox>
              <w14:checked w14:val="0"/>
              <w14:checkedState w14:val="2612" w14:font="MS Gothic"/>
              <w14:uncheckedState w14:val="2610" w14:font="MS Gothic"/>
            </w14:checkbox>
          </w:sdtPr>
          <w:sdtEndPr/>
          <w:sdtContent>
            <w:tc>
              <w:tcPr>
                <w:tcW w:w="504" w:type="dxa"/>
                <w:vAlign w:val="center"/>
              </w:tcPr>
              <w:p w:rsidR="00F12BFB" w:rsidRPr="00BA13B7" w:rsidRDefault="00F12BFB" w:rsidP="00F12BFB">
                <w:pPr>
                  <w:jc w:val="center"/>
                </w:pPr>
                <w:r>
                  <w:rPr>
                    <w:rFonts w:ascii="MS Gothic" w:eastAsia="MS Gothic" w:hAnsi="MS Gothic" w:hint="eastAsia"/>
                  </w:rPr>
                  <w:t>☐</w:t>
                </w:r>
              </w:p>
            </w:tc>
          </w:sdtContent>
        </w:sdt>
        <w:sdt>
          <w:sdtPr>
            <w:id w:val="-1348409786"/>
            <w14:checkbox>
              <w14:checked w14:val="0"/>
              <w14:checkedState w14:val="2612" w14:font="MS Gothic"/>
              <w14:uncheckedState w14:val="2610" w14:font="MS Gothic"/>
            </w14:checkbox>
          </w:sdtPr>
          <w:sdtEndPr/>
          <w:sdtContent>
            <w:tc>
              <w:tcPr>
                <w:tcW w:w="504" w:type="dxa"/>
                <w:vAlign w:val="center"/>
              </w:tcPr>
              <w:p w:rsidR="00F12BFB" w:rsidRPr="00BA13B7" w:rsidRDefault="00F12BFB" w:rsidP="00F12BFB">
                <w:pPr>
                  <w:jc w:val="center"/>
                </w:pPr>
                <w:r w:rsidRPr="00BA13B7">
                  <w:rPr>
                    <w:rFonts w:ascii="Segoe UI Symbol" w:eastAsia="MS Gothic" w:hAnsi="Segoe UI Symbol" w:cs="Segoe UI Symbol"/>
                  </w:rPr>
                  <w:t>☐</w:t>
                </w:r>
              </w:p>
            </w:tc>
          </w:sdtContent>
        </w:sdt>
        <w:sdt>
          <w:sdtPr>
            <w:id w:val="1910031600"/>
            <w14:checkbox>
              <w14:checked w14:val="0"/>
              <w14:checkedState w14:val="2612" w14:font="MS Gothic"/>
              <w14:uncheckedState w14:val="2610" w14:font="MS Gothic"/>
            </w14:checkbox>
          </w:sdtPr>
          <w:sdtEndPr/>
          <w:sdtContent>
            <w:tc>
              <w:tcPr>
                <w:tcW w:w="503" w:type="dxa"/>
                <w:vAlign w:val="center"/>
              </w:tcPr>
              <w:p w:rsidR="00F12BFB" w:rsidRPr="00BA13B7" w:rsidRDefault="00F12BFB" w:rsidP="00F12BFB">
                <w:pPr>
                  <w:jc w:val="center"/>
                </w:pPr>
                <w:r w:rsidRPr="00BA13B7">
                  <w:rPr>
                    <w:rFonts w:ascii="Segoe UI Symbol" w:eastAsia="MS Gothic" w:hAnsi="Segoe UI Symbol" w:cs="Segoe UI Symbol"/>
                  </w:rPr>
                  <w:t>☐</w:t>
                </w:r>
              </w:p>
            </w:tc>
          </w:sdtContent>
        </w:sdt>
        <w:sdt>
          <w:sdtPr>
            <w:id w:val="-1842546367"/>
            <w14:checkbox>
              <w14:checked w14:val="1"/>
              <w14:checkedState w14:val="2612" w14:font="MS Gothic"/>
              <w14:uncheckedState w14:val="2610" w14:font="MS Gothic"/>
            </w14:checkbox>
          </w:sdtPr>
          <w:sdtEndPr/>
          <w:sdtContent>
            <w:tc>
              <w:tcPr>
                <w:tcW w:w="504" w:type="dxa"/>
                <w:vAlign w:val="center"/>
              </w:tcPr>
              <w:p w:rsidR="00F12BFB" w:rsidRPr="00BA13B7" w:rsidRDefault="00F12BFB" w:rsidP="00F12BFB">
                <w:pPr>
                  <w:jc w:val="center"/>
                </w:pPr>
                <w:r>
                  <w:rPr>
                    <w:rFonts w:ascii="MS Gothic" w:eastAsia="MS Gothic" w:hAnsi="MS Gothic" w:hint="eastAsia"/>
                  </w:rPr>
                  <w:t>☒</w:t>
                </w:r>
              </w:p>
            </w:tc>
          </w:sdtContent>
        </w:sdt>
        <w:sdt>
          <w:sdtPr>
            <w:id w:val="-1329589132"/>
            <w14:checkbox>
              <w14:checked w14:val="0"/>
              <w14:checkedState w14:val="2612" w14:font="MS Gothic"/>
              <w14:uncheckedState w14:val="2610" w14:font="MS Gothic"/>
            </w14:checkbox>
          </w:sdtPr>
          <w:sdtEndPr/>
          <w:sdtContent>
            <w:tc>
              <w:tcPr>
                <w:tcW w:w="559" w:type="dxa"/>
                <w:vAlign w:val="center"/>
              </w:tcPr>
              <w:p w:rsidR="00F12BFB" w:rsidRPr="00BA13B7" w:rsidRDefault="00F12BFB" w:rsidP="00F12BFB">
                <w:pPr>
                  <w:jc w:val="center"/>
                </w:pPr>
                <w:r w:rsidRPr="00BA13B7">
                  <w:rPr>
                    <w:rFonts w:ascii="Segoe UI Symbol" w:eastAsia="MS Gothic" w:hAnsi="Segoe UI Symbol" w:cs="Segoe UI Symbol"/>
                  </w:rPr>
                  <w:t>☐</w:t>
                </w:r>
              </w:p>
            </w:tc>
          </w:sdtContent>
        </w:sdt>
        <w:sdt>
          <w:sdtPr>
            <w:id w:val="88285237"/>
            <w14:checkbox>
              <w14:checked w14:val="0"/>
              <w14:checkedState w14:val="2612" w14:font="MS Gothic"/>
              <w14:uncheckedState w14:val="2610" w14:font="MS Gothic"/>
            </w14:checkbox>
          </w:sdtPr>
          <w:sdtEndPr/>
          <w:sdtContent>
            <w:tc>
              <w:tcPr>
                <w:tcW w:w="504" w:type="dxa"/>
                <w:vAlign w:val="center"/>
              </w:tcPr>
              <w:p w:rsidR="00F12BFB" w:rsidRPr="00BA13B7" w:rsidRDefault="00F12BFB" w:rsidP="00F12BFB">
                <w:pPr>
                  <w:jc w:val="center"/>
                </w:pPr>
                <w:r w:rsidRPr="00BA13B7">
                  <w:rPr>
                    <w:rFonts w:ascii="Segoe UI Symbol" w:eastAsia="MS Gothic" w:hAnsi="Segoe UI Symbol" w:cs="Segoe UI Symbol"/>
                  </w:rPr>
                  <w:t>☐</w:t>
                </w:r>
              </w:p>
            </w:tc>
          </w:sdtContent>
        </w:sdt>
        <w:sdt>
          <w:sdtPr>
            <w:id w:val="-863745720"/>
            <w14:checkbox>
              <w14:checked w14:val="0"/>
              <w14:checkedState w14:val="2612" w14:font="MS Gothic"/>
              <w14:uncheckedState w14:val="2610" w14:font="MS Gothic"/>
            </w14:checkbox>
          </w:sdtPr>
          <w:sdtEndPr/>
          <w:sdtContent>
            <w:tc>
              <w:tcPr>
                <w:tcW w:w="503" w:type="dxa"/>
                <w:vAlign w:val="center"/>
              </w:tcPr>
              <w:p w:rsidR="00F12BFB" w:rsidRPr="00BA13B7" w:rsidRDefault="00F12BFB" w:rsidP="00F12BFB">
                <w:pPr>
                  <w:jc w:val="center"/>
                </w:pPr>
                <w:r w:rsidRPr="00BA13B7">
                  <w:rPr>
                    <w:rFonts w:ascii="Segoe UI Symbol" w:eastAsia="MS Gothic" w:hAnsi="Segoe UI Symbol" w:cs="Segoe UI Symbol"/>
                  </w:rPr>
                  <w:t>☐</w:t>
                </w:r>
              </w:p>
            </w:tc>
          </w:sdtContent>
        </w:sdt>
        <w:sdt>
          <w:sdtPr>
            <w:id w:val="-1421633458"/>
            <w14:checkbox>
              <w14:checked w14:val="0"/>
              <w14:checkedState w14:val="2612" w14:font="MS Gothic"/>
              <w14:uncheckedState w14:val="2610" w14:font="MS Gothic"/>
            </w14:checkbox>
          </w:sdtPr>
          <w:sdtEndPr/>
          <w:sdtContent>
            <w:tc>
              <w:tcPr>
                <w:tcW w:w="504" w:type="dxa"/>
                <w:vAlign w:val="center"/>
              </w:tcPr>
              <w:p w:rsidR="00F12BFB" w:rsidRPr="00BA13B7" w:rsidRDefault="00F12BFB" w:rsidP="00F12BFB">
                <w:pPr>
                  <w:jc w:val="center"/>
                </w:pPr>
                <w:r w:rsidRPr="00BA13B7">
                  <w:rPr>
                    <w:rFonts w:ascii="Segoe UI Symbol" w:eastAsia="MS Gothic" w:hAnsi="Segoe UI Symbol" w:cs="Segoe UI Symbol"/>
                  </w:rPr>
                  <w:t>☐</w:t>
                </w:r>
              </w:p>
            </w:tc>
          </w:sdtContent>
        </w:sdt>
        <w:tc>
          <w:tcPr>
            <w:tcW w:w="2692" w:type="dxa"/>
            <w:vAlign w:val="center"/>
          </w:tcPr>
          <w:p w:rsidR="00F12BFB" w:rsidRPr="00BA13B7" w:rsidRDefault="00F12BFB" w:rsidP="00F12BFB">
            <w:r>
              <w:t>Provides economic input and industry contacts</w:t>
            </w:r>
          </w:p>
        </w:tc>
      </w:tr>
      <w:tr w:rsidR="00E20D47" w:rsidRPr="00BA13B7" w:rsidTr="00023F3C">
        <w:trPr>
          <w:trHeight w:val="432"/>
        </w:trPr>
        <w:tc>
          <w:tcPr>
            <w:tcW w:w="3150" w:type="dxa"/>
            <w:vAlign w:val="center"/>
          </w:tcPr>
          <w:p w:rsidR="00E20D47" w:rsidRPr="00BA13B7" w:rsidRDefault="00E20D47" w:rsidP="00E20D47">
            <w:r>
              <w:t>Premier Pharmacy</w:t>
            </w:r>
          </w:p>
        </w:tc>
        <w:tc>
          <w:tcPr>
            <w:tcW w:w="2016" w:type="dxa"/>
            <w:vAlign w:val="center"/>
          </w:tcPr>
          <w:p w:rsidR="00E20D47" w:rsidRPr="00BA13B7" w:rsidRDefault="00E20D47" w:rsidP="00E20D47">
            <w:r>
              <w:rPr>
                <w:rFonts w:cs="Times New Roman"/>
              </w:rPr>
              <w:t>Retail p</w:t>
            </w:r>
            <w:r w:rsidRPr="00BA13B7">
              <w:rPr>
                <w:rFonts w:cs="Times New Roman"/>
              </w:rPr>
              <w:t xml:space="preserve">harmacy – </w:t>
            </w:r>
            <w:r>
              <w:rPr>
                <w:rFonts w:cs="Times New Roman"/>
              </w:rPr>
              <w:t>internship p</w:t>
            </w:r>
            <w:r w:rsidRPr="00BA13B7">
              <w:rPr>
                <w:rFonts w:cs="Times New Roman"/>
              </w:rPr>
              <w:t>artner</w:t>
            </w:r>
          </w:p>
        </w:tc>
        <w:tc>
          <w:tcPr>
            <w:tcW w:w="2722" w:type="dxa"/>
            <w:vAlign w:val="center"/>
          </w:tcPr>
          <w:p w:rsidR="00E20D47" w:rsidRPr="00BA13B7" w:rsidRDefault="00E20D47" w:rsidP="00E20D47">
            <w:r>
              <w:t>410 Cloverleaf Dr., Baldwin Park, 91706</w:t>
            </w:r>
          </w:p>
        </w:tc>
        <w:sdt>
          <w:sdtPr>
            <w:id w:val="-44022978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77124248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785923381"/>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252814308"/>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707783521"/>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40811898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947768634"/>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89150573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C.V.S.</w:t>
            </w:r>
            <w:r>
              <w:rPr>
                <w:rFonts w:cs="Times New Roman"/>
              </w:rPr>
              <w:t xml:space="preserve"> Pharmacy</w:t>
            </w:r>
          </w:p>
        </w:tc>
        <w:tc>
          <w:tcPr>
            <w:tcW w:w="2016" w:type="dxa"/>
            <w:vAlign w:val="center"/>
          </w:tcPr>
          <w:p w:rsidR="00E20D47" w:rsidRPr="00BA13B7" w:rsidRDefault="00E20D47" w:rsidP="00E20D47">
            <w:pPr>
              <w:rPr>
                <w:rFonts w:cs="Times New Roman"/>
              </w:rPr>
            </w:pPr>
            <w:r>
              <w:rPr>
                <w:rFonts w:cs="Times New Roman"/>
              </w:rPr>
              <w:t>Retail p</w:t>
            </w:r>
            <w:r w:rsidRPr="00BA13B7">
              <w:rPr>
                <w:rFonts w:cs="Times New Roman"/>
              </w:rPr>
              <w:t xml:space="preserve">harmacy – </w:t>
            </w:r>
            <w:r>
              <w:rPr>
                <w:rFonts w:cs="Times New Roman"/>
              </w:rPr>
              <w:t>internship p</w:t>
            </w:r>
            <w:r w:rsidRPr="00BA13B7">
              <w:rPr>
                <w:rFonts w:cs="Times New Roman"/>
              </w:rPr>
              <w:t>artner</w:t>
            </w:r>
          </w:p>
        </w:tc>
        <w:tc>
          <w:tcPr>
            <w:tcW w:w="2722" w:type="dxa"/>
            <w:vAlign w:val="center"/>
          </w:tcPr>
          <w:p w:rsidR="00E20D47" w:rsidRPr="00BA13B7" w:rsidRDefault="00E20D47" w:rsidP="00E20D47">
            <w:pPr>
              <w:ind w:left="720" w:hanging="720"/>
              <w:rPr>
                <w:rFonts w:cs="Times New Roman"/>
              </w:rPr>
            </w:pPr>
            <w:r>
              <w:rPr>
                <w:rFonts w:cs="Times New Roman"/>
              </w:rPr>
              <w:t>Various addresses</w:t>
            </w:r>
          </w:p>
        </w:tc>
        <w:sdt>
          <w:sdtPr>
            <w:id w:val="-112925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38499769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882050070"/>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816325479"/>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100489401"/>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7512033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59851926"/>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85006446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ind w:left="720" w:hanging="720"/>
              <w:rPr>
                <w:rFonts w:cs="Times New Roman"/>
              </w:rPr>
            </w:pPr>
            <w:r>
              <w:rPr>
                <w:rFonts w:cs="Times New Roman"/>
              </w:rPr>
              <w:t>Skilled</w:t>
            </w:r>
            <w:r w:rsidRPr="00BA13B7">
              <w:rPr>
                <w:rFonts w:cs="Times New Roman"/>
              </w:rPr>
              <w:t xml:space="preserve"> Nursing Pharmacy</w:t>
            </w:r>
          </w:p>
        </w:tc>
        <w:tc>
          <w:tcPr>
            <w:tcW w:w="2016" w:type="dxa"/>
            <w:vAlign w:val="center"/>
          </w:tcPr>
          <w:p w:rsidR="00E20D47" w:rsidRPr="00BA13B7" w:rsidRDefault="00E20D47" w:rsidP="00E20D47">
            <w:r>
              <w:rPr>
                <w:rFonts w:cs="Times New Roman"/>
              </w:rPr>
              <w:t>Retail p</w:t>
            </w:r>
            <w:r w:rsidRPr="00BA13B7">
              <w:rPr>
                <w:rFonts w:cs="Times New Roman"/>
              </w:rPr>
              <w:t xml:space="preserve">harmacy – </w:t>
            </w:r>
            <w:r>
              <w:rPr>
                <w:rFonts w:cs="Times New Roman"/>
              </w:rPr>
              <w:t>internship p</w:t>
            </w:r>
            <w:r w:rsidRPr="00BA13B7">
              <w:rPr>
                <w:rFonts w:cs="Times New Roman"/>
              </w:rPr>
              <w:t>artner</w:t>
            </w:r>
          </w:p>
        </w:tc>
        <w:tc>
          <w:tcPr>
            <w:tcW w:w="2722" w:type="dxa"/>
            <w:vAlign w:val="center"/>
          </w:tcPr>
          <w:p w:rsidR="00E20D47" w:rsidRPr="00BA13B7" w:rsidRDefault="00E20D47" w:rsidP="00E20D47">
            <w:pPr>
              <w:rPr>
                <w:rFonts w:cs="Times New Roman"/>
              </w:rPr>
            </w:pPr>
            <w:r w:rsidRPr="007D0EB0">
              <w:t>16666 E</w:t>
            </w:r>
            <w:r w:rsidR="00213965">
              <w:t>.</w:t>
            </w:r>
            <w:r w:rsidRPr="007D0EB0">
              <w:t xml:space="preserve"> Johnson Dr</w:t>
            </w:r>
            <w:r>
              <w:t xml:space="preserve">., Industry, </w:t>
            </w:r>
            <w:r w:rsidRPr="007D0EB0">
              <w:t>91745</w:t>
            </w:r>
          </w:p>
        </w:tc>
        <w:sdt>
          <w:sdtPr>
            <w:id w:val="27083200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4259706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77180955"/>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623304739"/>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035573298"/>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56848800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534916118"/>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70453127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pPr>
              <w:ind w:left="720" w:hanging="720"/>
            </w:pPr>
          </w:p>
        </w:tc>
      </w:tr>
      <w:tr w:rsidR="00E20D47" w:rsidRPr="00BA13B7" w:rsidTr="00023F3C">
        <w:trPr>
          <w:trHeight w:val="432"/>
        </w:trPr>
        <w:tc>
          <w:tcPr>
            <w:tcW w:w="3150" w:type="dxa"/>
            <w:vAlign w:val="center"/>
          </w:tcPr>
          <w:p w:rsidR="00E20D47" w:rsidRPr="00BA13B7" w:rsidRDefault="00E20D47" w:rsidP="00E20D47">
            <w:pPr>
              <w:ind w:left="720" w:hanging="720"/>
              <w:rPr>
                <w:rFonts w:cs="Times New Roman"/>
              </w:rPr>
            </w:pPr>
            <w:r w:rsidRPr="00BA13B7">
              <w:rPr>
                <w:rFonts w:cs="Times New Roman"/>
              </w:rPr>
              <w:t>Walgreens</w:t>
            </w:r>
            <w:r>
              <w:rPr>
                <w:rFonts w:cs="Times New Roman"/>
              </w:rPr>
              <w:t xml:space="preserve"> Pharmacy</w:t>
            </w:r>
          </w:p>
        </w:tc>
        <w:tc>
          <w:tcPr>
            <w:tcW w:w="2016" w:type="dxa"/>
            <w:vAlign w:val="center"/>
          </w:tcPr>
          <w:p w:rsidR="00E20D47" w:rsidRPr="00BA13B7" w:rsidRDefault="00E20D47" w:rsidP="00E20D47">
            <w:pPr>
              <w:rPr>
                <w:rFonts w:cs="Times New Roman"/>
              </w:rPr>
            </w:pPr>
            <w:r>
              <w:rPr>
                <w:rFonts w:cs="Times New Roman"/>
              </w:rPr>
              <w:t>Retail p</w:t>
            </w:r>
            <w:r w:rsidRPr="00BA13B7">
              <w:rPr>
                <w:rFonts w:cs="Times New Roman"/>
              </w:rPr>
              <w:t xml:space="preserve">harmacy – </w:t>
            </w:r>
            <w:r>
              <w:rPr>
                <w:rFonts w:cs="Times New Roman"/>
              </w:rPr>
              <w:t>internship p</w:t>
            </w:r>
            <w:r w:rsidRPr="00BA13B7">
              <w:rPr>
                <w:rFonts w:cs="Times New Roman"/>
              </w:rPr>
              <w:t>artner</w:t>
            </w:r>
          </w:p>
        </w:tc>
        <w:tc>
          <w:tcPr>
            <w:tcW w:w="2722" w:type="dxa"/>
            <w:vAlign w:val="center"/>
          </w:tcPr>
          <w:p w:rsidR="00E20D47" w:rsidRPr="00BA13B7" w:rsidRDefault="00E20D47" w:rsidP="00E20D47">
            <w:pPr>
              <w:ind w:left="720" w:hanging="720"/>
              <w:rPr>
                <w:rFonts w:cs="Times New Roman"/>
              </w:rPr>
            </w:pPr>
            <w:r>
              <w:rPr>
                <w:rFonts w:cs="Times New Roman"/>
              </w:rPr>
              <w:t>Various addresses</w:t>
            </w:r>
          </w:p>
        </w:tc>
        <w:sdt>
          <w:sdtPr>
            <w:id w:val="-191384438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01976925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885710944"/>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89046325"/>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640035928"/>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78879344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052374547"/>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5427470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pPr>
              <w:ind w:left="720" w:hanging="720"/>
            </w:pPr>
          </w:p>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Glendora Grand Care, Inc</w:t>
            </w:r>
            <w:r>
              <w:rPr>
                <w:rFonts w:cs="Times New Roman"/>
              </w:rPr>
              <w:t>.</w:t>
            </w:r>
          </w:p>
        </w:tc>
        <w:tc>
          <w:tcPr>
            <w:tcW w:w="2016" w:type="dxa"/>
            <w:vAlign w:val="center"/>
          </w:tcPr>
          <w:p w:rsidR="00E20D47" w:rsidRPr="00BA13B7" w:rsidRDefault="00E20D47" w:rsidP="00E20D47">
            <w:pPr>
              <w:rPr>
                <w:rFonts w:cs="Times New Roman"/>
              </w:rPr>
            </w:pPr>
            <w:r w:rsidRPr="00BA13B7">
              <w:rPr>
                <w:rFonts w:cs="Times New Roman"/>
              </w:rPr>
              <w:t xml:space="preserve">Skilled Nursing Facility – </w:t>
            </w:r>
            <w:r>
              <w:rPr>
                <w:rFonts w:cs="Times New Roman"/>
              </w:rPr>
              <w:t>in</w:t>
            </w:r>
            <w:r w:rsidRPr="00BA13B7">
              <w:rPr>
                <w:rFonts w:cs="Times New Roman"/>
              </w:rPr>
              <w:t>ternship partner</w:t>
            </w:r>
          </w:p>
        </w:tc>
        <w:tc>
          <w:tcPr>
            <w:tcW w:w="2722" w:type="dxa"/>
            <w:vAlign w:val="center"/>
          </w:tcPr>
          <w:p w:rsidR="00E20D47" w:rsidRPr="00BA13B7" w:rsidRDefault="00E20D47" w:rsidP="00E20D47">
            <w:pPr>
              <w:rPr>
                <w:rFonts w:cs="Times New Roman"/>
              </w:rPr>
            </w:pPr>
            <w:r>
              <w:rPr>
                <w:rFonts w:cs="Times New Roman"/>
              </w:rPr>
              <w:t xml:space="preserve">805 Arrow Hwy., </w:t>
            </w:r>
            <w:r w:rsidRPr="00BA13B7">
              <w:rPr>
                <w:rFonts w:cs="Times New Roman"/>
              </w:rPr>
              <w:t>Glendora</w:t>
            </w:r>
            <w:r>
              <w:rPr>
                <w:rFonts w:cs="Times New Roman"/>
              </w:rPr>
              <w:t>, 91740</w:t>
            </w:r>
          </w:p>
        </w:tc>
        <w:sdt>
          <w:sdtPr>
            <w:id w:val="-127177223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88177514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482434417"/>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4801185"/>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606535169"/>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01395193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64553794"/>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2027033"/>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pPr>
              <w:ind w:left="720" w:hanging="720"/>
            </w:pPr>
          </w:p>
        </w:tc>
      </w:tr>
      <w:tr w:rsidR="00E20D47" w:rsidRPr="00BA13B7" w:rsidTr="008D3F22">
        <w:trPr>
          <w:trHeight w:val="432"/>
        </w:trPr>
        <w:tc>
          <w:tcPr>
            <w:tcW w:w="3150" w:type="dxa"/>
            <w:vAlign w:val="center"/>
          </w:tcPr>
          <w:p w:rsidR="00E20D47" w:rsidRPr="00BA13B7" w:rsidRDefault="00E20D47" w:rsidP="00E20D47">
            <w:pPr>
              <w:rPr>
                <w:rFonts w:cs="Times New Roman"/>
              </w:rPr>
            </w:pPr>
            <w:r w:rsidRPr="00BA13B7">
              <w:rPr>
                <w:rFonts w:cs="Times New Roman"/>
              </w:rPr>
              <w:t>Gladstone Care and Rehabilitation</w:t>
            </w:r>
          </w:p>
        </w:tc>
        <w:tc>
          <w:tcPr>
            <w:tcW w:w="2016" w:type="dxa"/>
          </w:tcPr>
          <w:p w:rsidR="00E20D47" w:rsidRDefault="00E20D47" w:rsidP="00E20D47">
            <w:r w:rsidRPr="00DC7C4D">
              <w:rPr>
                <w:rFonts w:cs="Times New Roman"/>
              </w:rPr>
              <w:t>Skilled Nursing Facility – internship partner</w:t>
            </w:r>
          </w:p>
        </w:tc>
        <w:tc>
          <w:tcPr>
            <w:tcW w:w="2722" w:type="dxa"/>
            <w:vAlign w:val="center"/>
          </w:tcPr>
          <w:p w:rsidR="00E20D47" w:rsidRPr="00BA13B7" w:rsidRDefault="00E20D47" w:rsidP="00E20D47">
            <w:pPr>
              <w:rPr>
                <w:rFonts w:cs="Times New Roman"/>
              </w:rPr>
            </w:pPr>
            <w:r>
              <w:rPr>
                <w:rFonts w:cs="Times New Roman"/>
              </w:rPr>
              <w:t xml:space="preserve">435 E. Gladstone St., </w:t>
            </w:r>
            <w:r w:rsidRPr="00BA13B7">
              <w:rPr>
                <w:rFonts w:cs="Times New Roman"/>
              </w:rPr>
              <w:t>Glendora</w:t>
            </w:r>
            <w:r>
              <w:rPr>
                <w:rFonts w:cs="Times New Roman"/>
              </w:rPr>
              <w:t>, 91740</w:t>
            </w:r>
          </w:p>
        </w:tc>
        <w:sdt>
          <w:sdtPr>
            <w:id w:val="-169498682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38957236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276555951"/>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59807058"/>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533722379"/>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12187904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250464990"/>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6582088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8D3F22">
        <w:trPr>
          <w:trHeight w:val="432"/>
        </w:trPr>
        <w:tc>
          <w:tcPr>
            <w:tcW w:w="3150" w:type="dxa"/>
            <w:vAlign w:val="center"/>
          </w:tcPr>
          <w:p w:rsidR="00E20D47" w:rsidRPr="00BA13B7" w:rsidRDefault="00E20D47" w:rsidP="00E20D47">
            <w:pPr>
              <w:rPr>
                <w:rFonts w:cs="Times New Roman"/>
              </w:rPr>
            </w:pPr>
            <w:r w:rsidRPr="00BA13B7">
              <w:rPr>
                <w:rFonts w:cs="Times New Roman"/>
              </w:rPr>
              <w:lastRenderedPageBreak/>
              <w:t>The Rowland Convalescent Hospital</w:t>
            </w:r>
          </w:p>
        </w:tc>
        <w:tc>
          <w:tcPr>
            <w:tcW w:w="2016" w:type="dxa"/>
          </w:tcPr>
          <w:p w:rsidR="00E20D47" w:rsidRDefault="00E20D47" w:rsidP="00E20D47">
            <w:r w:rsidRPr="00DC7C4D">
              <w:rPr>
                <w:rFonts w:cs="Times New Roman"/>
              </w:rPr>
              <w:t>Skilled Nursing Facility – internship partner</w:t>
            </w:r>
          </w:p>
        </w:tc>
        <w:tc>
          <w:tcPr>
            <w:tcW w:w="2722" w:type="dxa"/>
            <w:vAlign w:val="center"/>
          </w:tcPr>
          <w:p w:rsidR="00E20D47" w:rsidRPr="00BA13B7" w:rsidRDefault="00E20D47" w:rsidP="00E20D47">
            <w:pPr>
              <w:rPr>
                <w:rFonts w:cs="Times New Roman"/>
              </w:rPr>
            </w:pPr>
            <w:r>
              <w:rPr>
                <w:rFonts w:cs="Times New Roman"/>
              </w:rPr>
              <w:t xml:space="preserve">330 W. Rowland St., </w:t>
            </w:r>
            <w:r w:rsidRPr="00BA13B7">
              <w:rPr>
                <w:rFonts w:cs="Times New Roman"/>
              </w:rPr>
              <w:t>Glendora</w:t>
            </w:r>
            <w:r>
              <w:rPr>
                <w:rFonts w:cs="Times New Roman"/>
              </w:rPr>
              <w:t>, 91723</w:t>
            </w:r>
          </w:p>
        </w:tc>
        <w:sdt>
          <w:sdtPr>
            <w:id w:val="120390536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33026576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30234797"/>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57754313"/>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2098629531"/>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5020697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770427214"/>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75315323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8D3F22">
        <w:trPr>
          <w:trHeight w:val="432"/>
        </w:trPr>
        <w:tc>
          <w:tcPr>
            <w:tcW w:w="3150" w:type="dxa"/>
            <w:vAlign w:val="center"/>
          </w:tcPr>
          <w:p w:rsidR="00E20D47" w:rsidRPr="00BA13B7" w:rsidRDefault="00E20D47" w:rsidP="00E20D47">
            <w:pPr>
              <w:rPr>
                <w:rFonts w:cs="Times New Roman"/>
              </w:rPr>
            </w:pPr>
            <w:r>
              <w:rPr>
                <w:rFonts w:cs="Times New Roman"/>
              </w:rPr>
              <w:t>Santa Teresita Hospital</w:t>
            </w:r>
          </w:p>
        </w:tc>
        <w:tc>
          <w:tcPr>
            <w:tcW w:w="2016" w:type="dxa"/>
            <w:vAlign w:val="center"/>
          </w:tcPr>
          <w:p w:rsidR="00E20D47" w:rsidRDefault="00E20D47" w:rsidP="00E20D47">
            <w:pPr>
              <w:rPr>
                <w:rFonts w:cs="Times New Roman"/>
              </w:rPr>
            </w:pPr>
            <w:r w:rsidRPr="00DC7C4D">
              <w:rPr>
                <w:rFonts w:cs="Times New Roman"/>
              </w:rPr>
              <w:t>Skilled Nursing Facility – internship partner</w:t>
            </w:r>
          </w:p>
        </w:tc>
        <w:tc>
          <w:tcPr>
            <w:tcW w:w="2722" w:type="dxa"/>
            <w:vAlign w:val="center"/>
          </w:tcPr>
          <w:p w:rsidR="00E20D47" w:rsidRPr="00BA13B7" w:rsidRDefault="00E20D47" w:rsidP="00E20D47">
            <w:pPr>
              <w:rPr>
                <w:rFonts w:cs="Times New Roman"/>
              </w:rPr>
            </w:pPr>
            <w:r>
              <w:rPr>
                <w:rFonts w:cs="Times New Roman"/>
              </w:rPr>
              <w:t>819 Buena Vista St., Duarte, 91010</w:t>
            </w:r>
          </w:p>
        </w:tc>
        <w:sdt>
          <w:sdtPr>
            <w:id w:val="-167225263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86771835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969023403"/>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845521589"/>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591891490"/>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1980134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763898667"/>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52748069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Visiting Angels</w:t>
            </w:r>
          </w:p>
        </w:tc>
        <w:tc>
          <w:tcPr>
            <w:tcW w:w="2016" w:type="dxa"/>
            <w:vAlign w:val="center"/>
          </w:tcPr>
          <w:p w:rsidR="00E20D47" w:rsidRPr="00BA13B7" w:rsidRDefault="00E20D47" w:rsidP="00E20D47">
            <w:pPr>
              <w:rPr>
                <w:rFonts w:cs="Times New Roman"/>
              </w:rPr>
            </w:pPr>
            <w:r>
              <w:rPr>
                <w:rFonts w:cs="Times New Roman"/>
              </w:rPr>
              <w:t>Home Care Aide Employer</w:t>
            </w:r>
          </w:p>
        </w:tc>
        <w:tc>
          <w:tcPr>
            <w:tcW w:w="2722" w:type="dxa"/>
            <w:vAlign w:val="center"/>
          </w:tcPr>
          <w:p w:rsidR="00E20D47" w:rsidRPr="00BA13B7" w:rsidRDefault="00E20D47" w:rsidP="00E20D47">
            <w:pPr>
              <w:rPr>
                <w:rFonts w:cs="Times New Roman"/>
              </w:rPr>
            </w:pPr>
            <w:r>
              <w:rPr>
                <w:rFonts w:cs="Times New Roman"/>
              </w:rPr>
              <w:t xml:space="preserve">131 E. Foothill Blvd., </w:t>
            </w:r>
            <w:r w:rsidRPr="00BA13B7">
              <w:rPr>
                <w:rFonts w:cs="Times New Roman"/>
              </w:rPr>
              <w:t>Glendora</w:t>
            </w:r>
            <w:r>
              <w:rPr>
                <w:rFonts w:cs="Times New Roman"/>
              </w:rPr>
              <w:t>, 91741</w:t>
            </w:r>
          </w:p>
        </w:tc>
        <w:sdt>
          <w:sdtPr>
            <w:id w:val="-71712869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27347032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65166898"/>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39411912"/>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296135812"/>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23515915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426178261"/>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8728037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Pr>
                <w:rFonts w:cs="Times New Roman"/>
              </w:rPr>
              <w:t>New Wave Home Care</w:t>
            </w:r>
          </w:p>
        </w:tc>
        <w:tc>
          <w:tcPr>
            <w:tcW w:w="2016" w:type="dxa"/>
            <w:vAlign w:val="center"/>
          </w:tcPr>
          <w:p w:rsidR="00E20D47" w:rsidRPr="00BA13B7" w:rsidRDefault="00E20D47" w:rsidP="00E20D47">
            <w:pPr>
              <w:rPr>
                <w:rFonts w:cs="Times New Roman"/>
              </w:rPr>
            </w:pPr>
            <w:r>
              <w:rPr>
                <w:rFonts w:cs="Times New Roman"/>
              </w:rPr>
              <w:t>Home Care Aide Employer</w:t>
            </w:r>
          </w:p>
        </w:tc>
        <w:tc>
          <w:tcPr>
            <w:tcW w:w="2722" w:type="dxa"/>
            <w:vAlign w:val="center"/>
          </w:tcPr>
          <w:p w:rsidR="00E20D47" w:rsidRPr="00153241" w:rsidRDefault="00E20D47" w:rsidP="00E20D47">
            <w:r w:rsidRPr="00153241">
              <w:t>1350 N</w:t>
            </w:r>
            <w:r w:rsidR="00213965">
              <w:t>.</w:t>
            </w:r>
            <w:r w:rsidRPr="00153241">
              <w:t xml:space="preserve"> Altadena Dr</w:t>
            </w:r>
            <w:r>
              <w:t>.,</w:t>
            </w:r>
            <w:r w:rsidRPr="00153241">
              <w:t xml:space="preserve"> Suite B, Pasadena, 91107</w:t>
            </w:r>
          </w:p>
        </w:tc>
        <w:sdt>
          <w:sdtPr>
            <w:id w:val="57316843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67333884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965509541"/>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976835214"/>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664120422"/>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90613977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898016630"/>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34383489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Pr>
                <w:rFonts w:cs="Times New Roman"/>
              </w:rPr>
              <w:t>Huntington Hospital</w:t>
            </w:r>
          </w:p>
        </w:tc>
        <w:tc>
          <w:tcPr>
            <w:tcW w:w="2016" w:type="dxa"/>
            <w:vAlign w:val="center"/>
          </w:tcPr>
          <w:p w:rsidR="00E20D47" w:rsidRPr="00BA13B7" w:rsidRDefault="00E20D47" w:rsidP="00E20D47">
            <w:pPr>
              <w:rPr>
                <w:rFonts w:cs="Times New Roman"/>
              </w:rPr>
            </w:pPr>
            <w:r>
              <w:rPr>
                <w:rFonts w:cs="Times New Roman"/>
              </w:rPr>
              <w:t>Acute hospital</w:t>
            </w:r>
          </w:p>
        </w:tc>
        <w:tc>
          <w:tcPr>
            <w:tcW w:w="2722" w:type="dxa"/>
            <w:vAlign w:val="center"/>
          </w:tcPr>
          <w:p w:rsidR="00E20D47" w:rsidRPr="00E20D47" w:rsidRDefault="00E20D47" w:rsidP="00E20D47">
            <w:r w:rsidRPr="00E20D47">
              <w:t xml:space="preserve">100 </w:t>
            </w:r>
            <w:r>
              <w:t>W</w:t>
            </w:r>
            <w:r w:rsidR="00213965">
              <w:t>.</w:t>
            </w:r>
            <w:r>
              <w:t xml:space="preserve"> California Blvd., Pasadena, </w:t>
            </w:r>
            <w:r w:rsidRPr="00E20D47">
              <w:t>91105</w:t>
            </w:r>
          </w:p>
        </w:tc>
        <w:sdt>
          <w:sdtPr>
            <w:id w:val="-1804685213"/>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38792319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64774622"/>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43733122"/>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534194667"/>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43941144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038693106"/>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82455045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Pr>
                <w:rFonts w:cs="Times New Roman"/>
              </w:rPr>
              <w:t>City of Hope</w:t>
            </w:r>
          </w:p>
        </w:tc>
        <w:tc>
          <w:tcPr>
            <w:tcW w:w="2016" w:type="dxa"/>
            <w:vAlign w:val="center"/>
          </w:tcPr>
          <w:p w:rsidR="00E20D47" w:rsidRPr="00BA13B7" w:rsidRDefault="00E20D47" w:rsidP="00E20D47">
            <w:pPr>
              <w:rPr>
                <w:rFonts w:cs="Times New Roman"/>
              </w:rPr>
            </w:pPr>
            <w:r>
              <w:rPr>
                <w:rFonts w:cs="Times New Roman"/>
              </w:rPr>
              <w:t>Acute hospital</w:t>
            </w:r>
          </w:p>
        </w:tc>
        <w:tc>
          <w:tcPr>
            <w:tcW w:w="2722" w:type="dxa"/>
            <w:vAlign w:val="center"/>
          </w:tcPr>
          <w:p w:rsidR="00E20D47" w:rsidRPr="00E20D47" w:rsidRDefault="00E20D47" w:rsidP="00E20D47">
            <w:r w:rsidRPr="00E20D47">
              <w:t>1500 E</w:t>
            </w:r>
            <w:r w:rsidR="00213965">
              <w:t>.</w:t>
            </w:r>
            <w:r w:rsidRPr="00E20D47">
              <w:t xml:space="preserve"> Duarte Rd</w:t>
            </w:r>
            <w:r>
              <w:t xml:space="preserve">., Duarte, </w:t>
            </w:r>
            <w:r w:rsidRPr="00E20D47">
              <w:t>91010</w:t>
            </w:r>
          </w:p>
        </w:tc>
        <w:sdt>
          <w:sdtPr>
            <w:id w:val="-2125522239"/>
            <w14:checkbox>
              <w14:checked w14:val="0"/>
              <w14:checkedState w14:val="2612" w14:font="MS Gothic"/>
              <w14:uncheckedState w14:val="2610" w14:font="MS Gothic"/>
            </w14:checkbox>
          </w:sdtPr>
          <w:sdtEndPr/>
          <w:sdtContent>
            <w:tc>
              <w:tcPr>
                <w:tcW w:w="504" w:type="dxa"/>
                <w:vAlign w:val="center"/>
              </w:tcPr>
              <w:p w:rsidR="00E20D47" w:rsidRPr="00BA13B7" w:rsidRDefault="008D3F22" w:rsidP="00E20D47">
                <w:pPr>
                  <w:jc w:val="center"/>
                </w:pPr>
                <w:r>
                  <w:rPr>
                    <w:rFonts w:ascii="MS Gothic" w:eastAsia="MS Gothic" w:hAnsi="MS Gothic" w:hint="eastAsia"/>
                  </w:rPr>
                  <w:t>☐</w:t>
                </w:r>
              </w:p>
            </w:tc>
          </w:sdtContent>
        </w:sdt>
        <w:sdt>
          <w:sdtPr>
            <w:id w:val="-161173799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971046008"/>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798450858"/>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782717177"/>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7808129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096983656"/>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022228253"/>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8D3F22" w:rsidP="00E20D47">
            <w:r>
              <w:t>Industry Advisory Board</w:t>
            </w:r>
          </w:p>
        </w:tc>
      </w:tr>
      <w:tr w:rsidR="008D3F22" w:rsidRPr="00BA13B7" w:rsidTr="00023F3C">
        <w:trPr>
          <w:trHeight w:val="432"/>
        </w:trPr>
        <w:tc>
          <w:tcPr>
            <w:tcW w:w="3150" w:type="dxa"/>
            <w:vAlign w:val="center"/>
          </w:tcPr>
          <w:p w:rsidR="008D3F22" w:rsidRPr="008D3F22" w:rsidRDefault="008D3F22" w:rsidP="008D3F22">
            <w:r w:rsidRPr="008D3F22">
              <w:t>Huntington Health Physicians</w:t>
            </w:r>
          </w:p>
        </w:tc>
        <w:tc>
          <w:tcPr>
            <w:tcW w:w="2016" w:type="dxa"/>
            <w:vAlign w:val="center"/>
          </w:tcPr>
          <w:p w:rsidR="008D3F22" w:rsidRPr="00BA13B7" w:rsidRDefault="008D3F22" w:rsidP="008D3F22">
            <w:pPr>
              <w:rPr>
                <w:rFonts w:cs="Times New Roman"/>
              </w:rPr>
            </w:pPr>
            <w:r>
              <w:rPr>
                <w:rFonts w:cs="Times New Roman"/>
              </w:rPr>
              <w:t xml:space="preserve">Medical Offices – Externship </w:t>
            </w:r>
          </w:p>
        </w:tc>
        <w:tc>
          <w:tcPr>
            <w:tcW w:w="2722" w:type="dxa"/>
            <w:vAlign w:val="center"/>
          </w:tcPr>
          <w:p w:rsidR="008D3F22" w:rsidRPr="008D3F22" w:rsidRDefault="008D3F22" w:rsidP="008D3F22">
            <w:r w:rsidRPr="008D3F22">
              <w:t>301 Huntington Dr</w:t>
            </w:r>
            <w:r>
              <w:t>.,</w:t>
            </w:r>
            <w:r w:rsidRPr="008D3F22">
              <w:t xml:space="preserve"> Suite 320, Arcadia, 91007</w:t>
            </w:r>
          </w:p>
        </w:tc>
        <w:sdt>
          <w:sdtPr>
            <w:id w:val="-1158996896"/>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Pr>
                    <w:rFonts w:ascii="MS Gothic" w:eastAsia="MS Gothic" w:hAnsi="MS Gothic" w:hint="eastAsia"/>
                  </w:rPr>
                  <w:t>☐</w:t>
                </w:r>
              </w:p>
            </w:tc>
          </w:sdtContent>
        </w:sdt>
        <w:sdt>
          <w:sdtPr>
            <w:id w:val="-794520173"/>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1770540922"/>
            <w14:checkbox>
              <w14:checked w14:val="0"/>
              <w14:checkedState w14:val="2612" w14:font="MS Gothic"/>
              <w14:uncheckedState w14:val="2610" w14:font="MS Gothic"/>
            </w14:checkbox>
          </w:sdtPr>
          <w:sdtEndPr/>
          <w:sdtContent>
            <w:tc>
              <w:tcPr>
                <w:tcW w:w="503"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1696349233"/>
            <w14:checkbox>
              <w14:checked w14:val="1"/>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Pr>
                    <w:rFonts w:ascii="MS Gothic" w:eastAsia="MS Gothic" w:hAnsi="MS Gothic" w:hint="eastAsia"/>
                  </w:rPr>
                  <w:t>☒</w:t>
                </w:r>
              </w:p>
            </w:tc>
          </w:sdtContent>
        </w:sdt>
        <w:sdt>
          <w:sdtPr>
            <w:id w:val="1842654546"/>
            <w14:checkbox>
              <w14:checked w14:val="0"/>
              <w14:checkedState w14:val="2612" w14:font="MS Gothic"/>
              <w14:uncheckedState w14:val="2610" w14:font="MS Gothic"/>
            </w14:checkbox>
          </w:sdtPr>
          <w:sdtEndPr/>
          <w:sdtContent>
            <w:tc>
              <w:tcPr>
                <w:tcW w:w="559"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2134549830"/>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370919502"/>
            <w14:checkbox>
              <w14:checked w14:val="0"/>
              <w14:checkedState w14:val="2612" w14:font="MS Gothic"/>
              <w14:uncheckedState w14:val="2610" w14:font="MS Gothic"/>
            </w14:checkbox>
          </w:sdtPr>
          <w:sdtEndPr/>
          <w:sdtContent>
            <w:tc>
              <w:tcPr>
                <w:tcW w:w="503"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241183168"/>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tc>
          <w:tcPr>
            <w:tcW w:w="2692" w:type="dxa"/>
            <w:vAlign w:val="center"/>
          </w:tcPr>
          <w:p w:rsidR="008D3F22" w:rsidRPr="00BA13B7" w:rsidRDefault="008D3F22" w:rsidP="008D3F22">
            <w:r>
              <w:t>Industry Advisory Board</w:t>
            </w:r>
          </w:p>
        </w:tc>
      </w:tr>
      <w:tr w:rsidR="008D3F22" w:rsidRPr="00BA13B7" w:rsidTr="008D3F22">
        <w:trPr>
          <w:trHeight w:val="432"/>
        </w:trPr>
        <w:tc>
          <w:tcPr>
            <w:tcW w:w="3150" w:type="dxa"/>
            <w:vAlign w:val="center"/>
          </w:tcPr>
          <w:p w:rsidR="008D3F22" w:rsidRPr="008D3F22" w:rsidRDefault="008D3F22" w:rsidP="008D3F22">
            <w:r w:rsidRPr="008D3F22">
              <w:t>Sierra Madre Medical Center</w:t>
            </w:r>
          </w:p>
        </w:tc>
        <w:tc>
          <w:tcPr>
            <w:tcW w:w="2016" w:type="dxa"/>
          </w:tcPr>
          <w:p w:rsidR="008D3F22" w:rsidRDefault="008D3F22" w:rsidP="008D3F22">
            <w:r w:rsidRPr="00CE7A2B">
              <w:rPr>
                <w:rFonts w:cs="Times New Roman"/>
              </w:rPr>
              <w:t xml:space="preserve">Medical Offices – Externship </w:t>
            </w:r>
          </w:p>
        </w:tc>
        <w:tc>
          <w:tcPr>
            <w:tcW w:w="2722" w:type="dxa"/>
            <w:vAlign w:val="center"/>
          </w:tcPr>
          <w:p w:rsidR="008D3F22" w:rsidRPr="008D3F22" w:rsidRDefault="008D3F22" w:rsidP="00213965">
            <w:r w:rsidRPr="008D3F22">
              <w:t>147 W</w:t>
            </w:r>
            <w:r w:rsidR="00213965">
              <w:t>. Sierra Madre Blvd.</w:t>
            </w:r>
            <w:r w:rsidRPr="008D3F22">
              <w:t>, Sierra Madre, CA 91024</w:t>
            </w:r>
          </w:p>
        </w:tc>
        <w:sdt>
          <w:sdtPr>
            <w:id w:val="881756147"/>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Pr>
                    <w:rFonts w:ascii="MS Gothic" w:eastAsia="MS Gothic" w:hAnsi="MS Gothic" w:hint="eastAsia"/>
                  </w:rPr>
                  <w:t>☐</w:t>
                </w:r>
              </w:p>
            </w:tc>
          </w:sdtContent>
        </w:sdt>
        <w:sdt>
          <w:sdtPr>
            <w:id w:val="-722145185"/>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431207703"/>
            <w14:checkbox>
              <w14:checked w14:val="0"/>
              <w14:checkedState w14:val="2612" w14:font="MS Gothic"/>
              <w14:uncheckedState w14:val="2610" w14:font="MS Gothic"/>
            </w14:checkbox>
          </w:sdtPr>
          <w:sdtEndPr/>
          <w:sdtContent>
            <w:tc>
              <w:tcPr>
                <w:tcW w:w="503"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575010083"/>
            <w14:checkbox>
              <w14:checked w14:val="1"/>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Pr>
                    <w:rFonts w:ascii="MS Gothic" w:eastAsia="MS Gothic" w:hAnsi="MS Gothic" w:hint="eastAsia"/>
                  </w:rPr>
                  <w:t>☒</w:t>
                </w:r>
              </w:p>
            </w:tc>
          </w:sdtContent>
        </w:sdt>
        <w:sdt>
          <w:sdtPr>
            <w:id w:val="-1472121072"/>
            <w14:checkbox>
              <w14:checked w14:val="0"/>
              <w14:checkedState w14:val="2612" w14:font="MS Gothic"/>
              <w14:uncheckedState w14:val="2610" w14:font="MS Gothic"/>
            </w14:checkbox>
          </w:sdtPr>
          <w:sdtEndPr/>
          <w:sdtContent>
            <w:tc>
              <w:tcPr>
                <w:tcW w:w="559"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1438285481"/>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1068308460"/>
            <w14:checkbox>
              <w14:checked w14:val="0"/>
              <w14:checkedState w14:val="2612" w14:font="MS Gothic"/>
              <w14:uncheckedState w14:val="2610" w14:font="MS Gothic"/>
            </w14:checkbox>
          </w:sdtPr>
          <w:sdtEndPr/>
          <w:sdtContent>
            <w:tc>
              <w:tcPr>
                <w:tcW w:w="503"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392316013"/>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tc>
          <w:tcPr>
            <w:tcW w:w="2692" w:type="dxa"/>
            <w:vAlign w:val="center"/>
          </w:tcPr>
          <w:p w:rsidR="008D3F22" w:rsidRPr="00BA13B7" w:rsidRDefault="008D3F22" w:rsidP="008D3F22"/>
        </w:tc>
      </w:tr>
      <w:tr w:rsidR="008D3F22" w:rsidRPr="00BA13B7" w:rsidTr="008D3F22">
        <w:trPr>
          <w:trHeight w:val="432"/>
        </w:trPr>
        <w:tc>
          <w:tcPr>
            <w:tcW w:w="3150" w:type="dxa"/>
            <w:vAlign w:val="center"/>
          </w:tcPr>
          <w:p w:rsidR="008D3F22" w:rsidRPr="008D3F22" w:rsidRDefault="008D3F22" w:rsidP="008D3F22">
            <w:r w:rsidRPr="008D3F22">
              <w:t>Chap Care</w:t>
            </w:r>
          </w:p>
        </w:tc>
        <w:tc>
          <w:tcPr>
            <w:tcW w:w="2016" w:type="dxa"/>
          </w:tcPr>
          <w:p w:rsidR="008D3F22" w:rsidRDefault="008D3F22" w:rsidP="008D3F22">
            <w:r w:rsidRPr="00CE7A2B">
              <w:rPr>
                <w:rFonts w:cs="Times New Roman"/>
              </w:rPr>
              <w:t xml:space="preserve">Medical Offices – Externship </w:t>
            </w:r>
          </w:p>
        </w:tc>
        <w:tc>
          <w:tcPr>
            <w:tcW w:w="2722" w:type="dxa"/>
            <w:vAlign w:val="center"/>
          </w:tcPr>
          <w:p w:rsidR="008D3F22" w:rsidRPr="004A4790" w:rsidRDefault="004A4790" w:rsidP="004A4790">
            <w:r>
              <w:t>455 W</w:t>
            </w:r>
            <w:r w:rsidR="00213965">
              <w:t>.</w:t>
            </w:r>
            <w:r>
              <w:t xml:space="preserve"> Montana St</w:t>
            </w:r>
            <w:r w:rsidR="00213965">
              <w:t>.</w:t>
            </w:r>
            <w:r>
              <w:t xml:space="preserve">, Pasadena, </w:t>
            </w:r>
            <w:r w:rsidRPr="004A4790">
              <w:t xml:space="preserve"> 91103</w:t>
            </w:r>
          </w:p>
        </w:tc>
        <w:sdt>
          <w:sdtPr>
            <w:id w:val="58444107"/>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Pr>
                    <w:rFonts w:ascii="MS Gothic" w:eastAsia="MS Gothic" w:hAnsi="MS Gothic" w:hint="eastAsia"/>
                  </w:rPr>
                  <w:t>☐</w:t>
                </w:r>
              </w:p>
            </w:tc>
          </w:sdtContent>
        </w:sdt>
        <w:sdt>
          <w:sdtPr>
            <w:id w:val="-1683420335"/>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1538088316"/>
            <w14:checkbox>
              <w14:checked w14:val="0"/>
              <w14:checkedState w14:val="2612" w14:font="MS Gothic"/>
              <w14:uncheckedState w14:val="2610" w14:font="MS Gothic"/>
            </w14:checkbox>
          </w:sdtPr>
          <w:sdtEndPr/>
          <w:sdtContent>
            <w:tc>
              <w:tcPr>
                <w:tcW w:w="503"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1413777980"/>
            <w14:checkbox>
              <w14:checked w14:val="1"/>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Pr>
                    <w:rFonts w:ascii="MS Gothic" w:eastAsia="MS Gothic" w:hAnsi="MS Gothic" w:hint="eastAsia"/>
                  </w:rPr>
                  <w:t>☒</w:t>
                </w:r>
              </w:p>
            </w:tc>
          </w:sdtContent>
        </w:sdt>
        <w:sdt>
          <w:sdtPr>
            <w:id w:val="1139614200"/>
            <w14:checkbox>
              <w14:checked w14:val="0"/>
              <w14:checkedState w14:val="2612" w14:font="MS Gothic"/>
              <w14:uncheckedState w14:val="2610" w14:font="MS Gothic"/>
            </w14:checkbox>
          </w:sdtPr>
          <w:sdtEndPr/>
          <w:sdtContent>
            <w:tc>
              <w:tcPr>
                <w:tcW w:w="559"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2041581165"/>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171228665"/>
            <w14:checkbox>
              <w14:checked w14:val="0"/>
              <w14:checkedState w14:val="2612" w14:font="MS Gothic"/>
              <w14:uncheckedState w14:val="2610" w14:font="MS Gothic"/>
            </w14:checkbox>
          </w:sdtPr>
          <w:sdtEndPr/>
          <w:sdtContent>
            <w:tc>
              <w:tcPr>
                <w:tcW w:w="503"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1896242259"/>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tc>
          <w:tcPr>
            <w:tcW w:w="2692" w:type="dxa"/>
            <w:vAlign w:val="center"/>
          </w:tcPr>
          <w:p w:rsidR="008D3F22" w:rsidRPr="00BA13B7" w:rsidRDefault="008D3F22" w:rsidP="008D3F22"/>
        </w:tc>
      </w:tr>
      <w:tr w:rsidR="008D3F22" w:rsidRPr="00BA13B7" w:rsidTr="008D3F22">
        <w:trPr>
          <w:trHeight w:val="432"/>
        </w:trPr>
        <w:tc>
          <w:tcPr>
            <w:tcW w:w="3150" w:type="dxa"/>
            <w:vAlign w:val="center"/>
          </w:tcPr>
          <w:p w:rsidR="008D3F22" w:rsidRPr="008D3F22" w:rsidRDefault="008D3F22" w:rsidP="008D3F22">
            <w:r w:rsidRPr="008D3F22">
              <w:t>Verdugo Hills Medical Center</w:t>
            </w:r>
          </w:p>
        </w:tc>
        <w:tc>
          <w:tcPr>
            <w:tcW w:w="2016" w:type="dxa"/>
          </w:tcPr>
          <w:p w:rsidR="008D3F22" w:rsidRDefault="008D3F22" w:rsidP="008D3F22">
            <w:r w:rsidRPr="00CE7A2B">
              <w:rPr>
                <w:rFonts w:cs="Times New Roman"/>
              </w:rPr>
              <w:t xml:space="preserve">Medical Offices – Externship </w:t>
            </w:r>
          </w:p>
        </w:tc>
        <w:tc>
          <w:tcPr>
            <w:tcW w:w="2722" w:type="dxa"/>
            <w:vAlign w:val="center"/>
          </w:tcPr>
          <w:p w:rsidR="008D3F22" w:rsidRPr="004A4790" w:rsidRDefault="004A4790" w:rsidP="004A4790">
            <w:r w:rsidRPr="004A4790">
              <w:t>1818 V</w:t>
            </w:r>
            <w:r>
              <w:t xml:space="preserve">erdugo Blvd # 402, Glendale, </w:t>
            </w:r>
            <w:r w:rsidRPr="004A4790">
              <w:t>91208</w:t>
            </w:r>
          </w:p>
        </w:tc>
        <w:sdt>
          <w:sdtPr>
            <w:id w:val="1931165350"/>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Pr>
                    <w:rFonts w:ascii="MS Gothic" w:eastAsia="MS Gothic" w:hAnsi="MS Gothic" w:hint="eastAsia"/>
                  </w:rPr>
                  <w:t>☐</w:t>
                </w:r>
              </w:p>
            </w:tc>
          </w:sdtContent>
        </w:sdt>
        <w:sdt>
          <w:sdtPr>
            <w:id w:val="-1087684557"/>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889156551"/>
            <w14:checkbox>
              <w14:checked w14:val="0"/>
              <w14:checkedState w14:val="2612" w14:font="MS Gothic"/>
              <w14:uncheckedState w14:val="2610" w14:font="MS Gothic"/>
            </w14:checkbox>
          </w:sdtPr>
          <w:sdtEndPr/>
          <w:sdtContent>
            <w:tc>
              <w:tcPr>
                <w:tcW w:w="503"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55553442"/>
            <w14:checkbox>
              <w14:checked w14:val="1"/>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Pr>
                    <w:rFonts w:ascii="MS Gothic" w:eastAsia="MS Gothic" w:hAnsi="MS Gothic" w:hint="eastAsia"/>
                  </w:rPr>
                  <w:t>☒</w:t>
                </w:r>
              </w:p>
            </w:tc>
          </w:sdtContent>
        </w:sdt>
        <w:sdt>
          <w:sdtPr>
            <w:id w:val="782390302"/>
            <w14:checkbox>
              <w14:checked w14:val="0"/>
              <w14:checkedState w14:val="2612" w14:font="MS Gothic"/>
              <w14:uncheckedState w14:val="2610" w14:font="MS Gothic"/>
            </w14:checkbox>
          </w:sdtPr>
          <w:sdtEndPr/>
          <w:sdtContent>
            <w:tc>
              <w:tcPr>
                <w:tcW w:w="559"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1645464724"/>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1323121048"/>
            <w14:checkbox>
              <w14:checked w14:val="0"/>
              <w14:checkedState w14:val="2612" w14:font="MS Gothic"/>
              <w14:uncheckedState w14:val="2610" w14:font="MS Gothic"/>
            </w14:checkbox>
          </w:sdtPr>
          <w:sdtEndPr/>
          <w:sdtContent>
            <w:tc>
              <w:tcPr>
                <w:tcW w:w="503"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sdt>
          <w:sdtPr>
            <w:id w:val="-506975612"/>
            <w14:checkbox>
              <w14:checked w14:val="0"/>
              <w14:checkedState w14:val="2612" w14:font="MS Gothic"/>
              <w14:uncheckedState w14:val="2610" w14:font="MS Gothic"/>
            </w14:checkbox>
          </w:sdtPr>
          <w:sdtEndPr/>
          <w:sdtContent>
            <w:tc>
              <w:tcPr>
                <w:tcW w:w="504" w:type="dxa"/>
                <w:vAlign w:val="center"/>
              </w:tcPr>
              <w:p w:rsidR="008D3F22" w:rsidRPr="00BA13B7" w:rsidRDefault="008D3F22" w:rsidP="008D3F22">
                <w:pPr>
                  <w:jc w:val="center"/>
                </w:pPr>
                <w:r w:rsidRPr="00BA13B7">
                  <w:rPr>
                    <w:rFonts w:ascii="Segoe UI Symbol" w:eastAsia="MS Gothic" w:hAnsi="Segoe UI Symbol" w:cs="Segoe UI Symbol"/>
                  </w:rPr>
                  <w:t>☐</w:t>
                </w:r>
              </w:p>
            </w:tc>
          </w:sdtContent>
        </w:sdt>
        <w:tc>
          <w:tcPr>
            <w:tcW w:w="2692" w:type="dxa"/>
            <w:vAlign w:val="center"/>
          </w:tcPr>
          <w:p w:rsidR="008D3F22" w:rsidRPr="00BA13B7" w:rsidRDefault="008D3F22" w:rsidP="008D3F22"/>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Azusa City Library</w:t>
            </w:r>
          </w:p>
        </w:tc>
        <w:tc>
          <w:tcPr>
            <w:tcW w:w="2016" w:type="dxa"/>
            <w:vAlign w:val="center"/>
          </w:tcPr>
          <w:p w:rsidR="00E20D47" w:rsidRPr="00BA13B7" w:rsidRDefault="00E20D47" w:rsidP="00E20D47">
            <w:pPr>
              <w:rPr>
                <w:rFonts w:cs="Times New Roman"/>
              </w:rPr>
            </w:pPr>
            <w:r w:rsidRPr="00BA13B7">
              <w:rPr>
                <w:rFonts w:cs="Times New Roman"/>
              </w:rPr>
              <w:t>Public Library</w:t>
            </w:r>
          </w:p>
        </w:tc>
        <w:tc>
          <w:tcPr>
            <w:tcW w:w="2722" w:type="dxa"/>
            <w:vAlign w:val="center"/>
          </w:tcPr>
          <w:p w:rsidR="00E20D47" w:rsidRPr="00BA13B7" w:rsidRDefault="00E20D47" w:rsidP="00E20D47">
            <w:pPr>
              <w:rPr>
                <w:rFonts w:cs="Times New Roman"/>
              </w:rPr>
            </w:pPr>
            <w:r>
              <w:rPr>
                <w:rFonts w:cs="Times New Roman"/>
              </w:rPr>
              <w:t xml:space="preserve">729 N. Dalton Ave., </w:t>
            </w:r>
            <w:r w:rsidRPr="00BA13B7">
              <w:rPr>
                <w:rFonts w:cs="Times New Roman"/>
              </w:rPr>
              <w:t>Azusa</w:t>
            </w:r>
            <w:r>
              <w:rPr>
                <w:rFonts w:cs="Times New Roman"/>
              </w:rPr>
              <w:t xml:space="preserve"> 91702</w:t>
            </w:r>
          </w:p>
        </w:tc>
        <w:sdt>
          <w:sdtPr>
            <w:id w:val="11114136"/>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57233503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820724656"/>
            <w14:checkbox>
              <w14:checked w14:val="1"/>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Pr>
                    <w:rFonts w:ascii="MS Gothic" w:eastAsia="MS Gothic" w:hAnsi="MS Gothic" w:hint="eastAsia"/>
                  </w:rPr>
                  <w:t>☒</w:t>
                </w:r>
              </w:p>
            </w:tc>
          </w:sdtContent>
        </w:sdt>
        <w:sdt>
          <w:sdtPr>
            <w:id w:val="132385222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45994545"/>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15769550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512301892"/>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04671403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Pr>
                <w:rFonts w:cs="Times New Roman"/>
              </w:rPr>
              <w:t>Monrovia City Library</w:t>
            </w:r>
          </w:p>
        </w:tc>
        <w:tc>
          <w:tcPr>
            <w:tcW w:w="2016" w:type="dxa"/>
            <w:vAlign w:val="center"/>
          </w:tcPr>
          <w:p w:rsidR="00E20D47" w:rsidRPr="00BA13B7" w:rsidRDefault="00E20D47" w:rsidP="00E20D47">
            <w:pPr>
              <w:rPr>
                <w:rFonts w:cs="Times New Roman"/>
              </w:rPr>
            </w:pPr>
            <w:r w:rsidRPr="00BA13B7">
              <w:rPr>
                <w:rFonts w:cs="Times New Roman"/>
              </w:rPr>
              <w:t>Public Library</w:t>
            </w:r>
          </w:p>
        </w:tc>
        <w:tc>
          <w:tcPr>
            <w:tcW w:w="2722" w:type="dxa"/>
            <w:vAlign w:val="center"/>
          </w:tcPr>
          <w:p w:rsidR="00E20D47" w:rsidRPr="00BA13B7" w:rsidRDefault="00E20D47" w:rsidP="00E20D47">
            <w:pPr>
              <w:rPr>
                <w:rFonts w:cs="Times New Roman"/>
              </w:rPr>
            </w:pPr>
            <w:r>
              <w:rPr>
                <w:rFonts w:cs="Times New Roman"/>
              </w:rPr>
              <w:t>321 S. Myrtle Ave., Monrovia, 91016</w:t>
            </w:r>
          </w:p>
        </w:tc>
        <w:sdt>
          <w:sdtPr>
            <w:id w:val="-1898201698"/>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89573499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628591596"/>
            <w14:checkbox>
              <w14:checked w14:val="1"/>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Pr>
                    <w:rFonts w:ascii="MS Gothic" w:eastAsia="MS Gothic" w:hAnsi="MS Gothic" w:hint="eastAsia"/>
                  </w:rPr>
                  <w:t>☒</w:t>
                </w:r>
              </w:p>
            </w:tc>
          </w:sdtContent>
        </w:sdt>
        <w:sdt>
          <w:sdtPr>
            <w:id w:val="73328838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5176233"/>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8388324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788548912"/>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81209852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4A4790" w:rsidRPr="00BA13B7" w:rsidTr="00023F3C">
        <w:trPr>
          <w:trHeight w:val="432"/>
        </w:trPr>
        <w:tc>
          <w:tcPr>
            <w:tcW w:w="3150" w:type="dxa"/>
            <w:vAlign w:val="center"/>
          </w:tcPr>
          <w:p w:rsidR="004A4790" w:rsidRPr="00BA13B7" w:rsidRDefault="004A4790" w:rsidP="00E20D47">
            <w:pPr>
              <w:rPr>
                <w:rFonts w:cs="Times New Roman"/>
              </w:rPr>
            </w:pPr>
          </w:p>
        </w:tc>
        <w:tc>
          <w:tcPr>
            <w:tcW w:w="2016" w:type="dxa"/>
            <w:vAlign w:val="center"/>
          </w:tcPr>
          <w:p w:rsidR="004A4790" w:rsidRDefault="004A4790" w:rsidP="00E20D47">
            <w:pPr>
              <w:rPr>
                <w:rFonts w:cs="Times New Roman"/>
              </w:rPr>
            </w:pPr>
          </w:p>
        </w:tc>
        <w:tc>
          <w:tcPr>
            <w:tcW w:w="2722" w:type="dxa"/>
            <w:vAlign w:val="center"/>
          </w:tcPr>
          <w:p w:rsidR="004A4790" w:rsidRPr="008B6FF7" w:rsidRDefault="004A4790" w:rsidP="00E20D47"/>
        </w:tc>
        <w:tc>
          <w:tcPr>
            <w:tcW w:w="504" w:type="dxa"/>
            <w:vAlign w:val="center"/>
          </w:tcPr>
          <w:p w:rsidR="004A4790" w:rsidRDefault="004A4790" w:rsidP="00E20D47">
            <w:pPr>
              <w:jc w:val="center"/>
            </w:pPr>
          </w:p>
        </w:tc>
        <w:tc>
          <w:tcPr>
            <w:tcW w:w="504" w:type="dxa"/>
            <w:vAlign w:val="center"/>
          </w:tcPr>
          <w:p w:rsidR="004A4790" w:rsidRDefault="004A4790" w:rsidP="00E20D47">
            <w:pPr>
              <w:jc w:val="center"/>
            </w:pPr>
          </w:p>
        </w:tc>
        <w:tc>
          <w:tcPr>
            <w:tcW w:w="503" w:type="dxa"/>
            <w:vAlign w:val="center"/>
          </w:tcPr>
          <w:p w:rsidR="004A4790" w:rsidRDefault="004A4790" w:rsidP="00E20D47">
            <w:pPr>
              <w:jc w:val="center"/>
            </w:pPr>
          </w:p>
        </w:tc>
        <w:tc>
          <w:tcPr>
            <w:tcW w:w="504" w:type="dxa"/>
            <w:vAlign w:val="center"/>
          </w:tcPr>
          <w:p w:rsidR="004A4790" w:rsidRDefault="004A4790" w:rsidP="00E20D47">
            <w:pPr>
              <w:jc w:val="center"/>
            </w:pPr>
          </w:p>
        </w:tc>
        <w:tc>
          <w:tcPr>
            <w:tcW w:w="559" w:type="dxa"/>
            <w:vAlign w:val="center"/>
          </w:tcPr>
          <w:p w:rsidR="004A4790" w:rsidRDefault="004A4790" w:rsidP="00E20D47">
            <w:pPr>
              <w:jc w:val="center"/>
            </w:pPr>
          </w:p>
        </w:tc>
        <w:tc>
          <w:tcPr>
            <w:tcW w:w="504" w:type="dxa"/>
            <w:vAlign w:val="center"/>
          </w:tcPr>
          <w:p w:rsidR="004A4790" w:rsidRDefault="004A4790" w:rsidP="00E20D47">
            <w:pPr>
              <w:jc w:val="center"/>
            </w:pPr>
          </w:p>
        </w:tc>
        <w:tc>
          <w:tcPr>
            <w:tcW w:w="503" w:type="dxa"/>
            <w:vAlign w:val="center"/>
          </w:tcPr>
          <w:p w:rsidR="004A4790" w:rsidRDefault="004A4790" w:rsidP="00E20D47">
            <w:pPr>
              <w:jc w:val="center"/>
            </w:pPr>
          </w:p>
        </w:tc>
        <w:tc>
          <w:tcPr>
            <w:tcW w:w="504" w:type="dxa"/>
            <w:vAlign w:val="center"/>
          </w:tcPr>
          <w:p w:rsidR="004A4790" w:rsidRDefault="004A4790" w:rsidP="00E20D47">
            <w:pPr>
              <w:jc w:val="center"/>
            </w:pPr>
          </w:p>
        </w:tc>
        <w:tc>
          <w:tcPr>
            <w:tcW w:w="2692" w:type="dxa"/>
            <w:vAlign w:val="center"/>
          </w:tcPr>
          <w:p w:rsidR="004A4790" w:rsidRDefault="004A4790"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Supervisor Hilda L. Solis</w:t>
            </w:r>
          </w:p>
        </w:tc>
        <w:tc>
          <w:tcPr>
            <w:tcW w:w="2016" w:type="dxa"/>
            <w:vAlign w:val="center"/>
          </w:tcPr>
          <w:p w:rsidR="00E20D47" w:rsidRPr="00BA13B7" w:rsidRDefault="00E20D47" w:rsidP="00E20D47">
            <w:pPr>
              <w:rPr>
                <w:rFonts w:cs="Times New Roman"/>
              </w:rPr>
            </w:pPr>
            <w:r>
              <w:rPr>
                <w:rFonts w:cs="Times New Roman"/>
              </w:rPr>
              <w:t>County Supervisor</w:t>
            </w:r>
          </w:p>
        </w:tc>
        <w:tc>
          <w:tcPr>
            <w:tcW w:w="2722" w:type="dxa"/>
            <w:vAlign w:val="center"/>
          </w:tcPr>
          <w:p w:rsidR="00E20D47" w:rsidRPr="008B6FF7" w:rsidRDefault="00E20D47" w:rsidP="00E20D47">
            <w:r w:rsidRPr="008B6FF7">
              <w:t>500 W</w:t>
            </w:r>
            <w:r w:rsidR="00213965">
              <w:t>.</w:t>
            </w:r>
            <w:r w:rsidRPr="008B6FF7">
              <w:t xml:space="preserve"> Temple St</w:t>
            </w:r>
            <w:r w:rsidR="00213965">
              <w:t>.</w:t>
            </w:r>
            <w:r w:rsidRPr="008B6FF7">
              <w:t>, Los Angeles, CA 90012</w:t>
            </w:r>
          </w:p>
        </w:tc>
        <w:sdt>
          <w:sdtPr>
            <w:id w:val="74977485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49580397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984626697"/>
            <w14:checkbox>
              <w14:checked w14:val="1"/>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Pr>
                    <w:rFonts w:ascii="MS Gothic" w:eastAsia="MS Gothic" w:hAnsi="MS Gothic" w:hint="eastAsia"/>
                  </w:rPr>
                  <w:t>☒</w:t>
                </w:r>
              </w:p>
            </w:tc>
          </w:sdtContent>
        </w:sdt>
        <w:sdt>
          <w:sdtPr>
            <w:id w:val="162789202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896040963"/>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33403692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53904456"/>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30829843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r>
              <w:t>Sponsors citizenship info and legal sessions and provides political support</w:t>
            </w:r>
          </w:p>
        </w:tc>
      </w:tr>
      <w:tr w:rsidR="00E20D47" w:rsidRPr="00BA13B7" w:rsidTr="00023F3C">
        <w:trPr>
          <w:trHeight w:val="432"/>
        </w:trPr>
        <w:tc>
          <w:tcPr>
            <w:tcW w:w="3150" w:type="dxa"/>
            <w:vAlign w:val="center"/>
          </w:tcPr>
          <w:p w:rsidR="00E20D47" w:rsidRPr="00BA13B7" w:rsidRDefault="00E20D47" w:rsidP="00E20D47">
            <w:pPr>
              <w:rPr>
                <w:rFonts w:cs="Times New Roman"/>
              </w:rPr>
            </w:pPr>
            <w:r>
              <w:rPr>
                <w:rFonts w:cs="Times New Roman"/>
              </w:rPr>
              <w:t>Supervisor Kathryn Barger</w:t>
            </w:r>
          </w:p>
        </w:tc>
        <w:tc>
          <w:tcPr>
            <w:tcW w:w="2016" w:type="dxa"/>
            <w:vAlign w:val="center"/>
          </w:tcPr>
          <w:p w:rsidR="00E20D47" w:rsidRPr="00BA13B7" w:rsidRDefault="00E20D47" w:rsidP="00E20D47">
            <w:pPr>
              <w:rPr>
                <w:rFonts w:cs="Times New Roman"/>
              </w:rPr>
            </w:pPr>
            <w:r>
              <w:rPr>
                <w:rFonts w:cs="Times New Roman"/>
              </w:rPr>
              <w:t>County Supervisor</w:t>
            </w:r>
          </w:p>
        </w:tc>
        <w:tc>
          <w:tcPr>
            <w:tcW w:w="2722" w:type="dxa"/>
            <w:vAlign w:val="center"/>
          </w:tcPr>
          <w:p w:rsidR="00E20D47" w:rsidRPr="008B6FF7" w:rsidRDefault="00E20D47" w:rsidP="00E20D47">
            <w:r w:rsidRPr="008B6FF7">
              <w:t>500 W</w:t>
            </w:r>
            <w:r w:rsidR="00213965">
              <w:t>.</w:t>
            </w:r>
            <w:r w:rsidRPr="008B6FF7">
              <w:t xml:space="preserve"> Temple St</w:t>
            </w:r>
            <w:r w:rsidR="00213965">
              <w:t>.</w:t>
            </w:r>
            <w:r w:rsidRPr="008B6FF7">
              <w:t>, Los Angeles, CA 90012</w:t>
            </w:r>
          </w:p>
        </w:tc>
        <w:sdt>
          <w:sdtPr>
            <w:id w:val="73097100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72841346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077438460"/>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Pr>
                    <w:rFonts w:ascii="MS Gothic" w:eastAsia="MS Gothic" w:hAnsi="MS Gothic" w:hint="eastAsia"/>
                  </w:rPr>
                  <w:t>☐</w:t>
                </w:r>
              </w:p>
            </w:tc>
          </w:sdtContent>
        </w:sdt>
        <w:sdt>
          <w:sdtPr>
            <w:id w:val="895244370"/>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714650844"/>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49364292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099440395"/>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93500758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r>
              <w:t>Provides political support and connects consortium to LA County WDBs.</w:t>
            </w:r>
          </w:p>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City of Azusa</w:t>
            </w:r>
          </w:p>
        </w:tc>
        <w:tc>
          <w:tcPr>
            <w:tcW w:w="2016" w:type="dxa"/>
            <w:vAlign w:val="center"/>
          </w:tcPr>
          <w:p w:rsidR="00E20D47" w:rsidRPr="00BA13B7" w:rsidRDefault="00E20D47" w:rsidP="00E20D47">
            <w:pPr>
              <w:rPr>
                <w:rFonts w:cs="Times New Roman"/>
              </w:rPr>
            </w:pPr>
            <w:r w:rsidRPr="00BA13B7">
              <w:rPr>
                <w:rFonts w:cs="Times New Roman"/>
              </w:rPr>
              <w:t>City</w:t>
            </w:r>
            <w:r>
              <w:rPr>
                <w:rFonts w:cs="Times New Roman"/>
              </w:rPr>
              <w:t xml:space="preserve"> government</w:t>
            </w:r>
          </w:p>
        </w:tc>
        <w:tc>
          <w:tcPr>
            <w:tcW w:w="2722" w:type="dxa"/>
            <w:vAlign w:val="center"/>
          </w:tcPr>
          <w:p w:rsidR="00E20D47" w:rsidRPr="004A4790" w:rsidRDefault="00E20D47" w:rsidP="004A4790">
            <w:r w:rsidRPr="004A4790">
              <w:t>213 E</w:t>
            </w:r>
            <w:r w:rsidR="00213965">
              <w:t>.</w:t>
            </w:r>
            <w:r w:rsidRPr="004A4790">
              <w:t xml:space="preserve"> Foothill Blvd</w:t>
            </w:r>
            <w:r w:rsidR="00213965">
              <w:t>.</w:t>
            </w:r>
            <w:r w:rsidRPr="004A4790">
              <w:t>, Azusa,  91702</w:t>
            </w:r>
          </w:p>
        </w:tc>
        <w:sdt>
          <w:sdtPr>
            <w:id w:val="-67734760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35276287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885754293"/>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Pr>
                    <w:rFonts w:ascii="MS Gothic" w:eastAsia="MS Gothic" w:hAnsi="MS Gothic" w:hint="eastAsia"/>
                  </w:rPr>
                  <w:t>☐</w:t>
                </w:r>
              </w:p>
            </w:tc>
          </w:sdtContent>
        </w:sdt>
        <w:sdt>
          <w:sdtPr>
            <w:id w:val="-151645842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72294357"/>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26249775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319700900"/>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87453697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r>
              <w:t>Provides political support.</w:t>
            </w:r>
          </w:p>
        </w:tc>
      </w:tr>
      <w:tr w:rsidR="00E20D47" w:rsidRPr="00BA13B7" w:rsidTr="00023F3C">
        <w:trPr>
          <w:trHeight w:val="432"/>
        </w:trPr>
        <w:tc>
          <w:tcPr>
            <w:tcW w:w="3150" w:type="dxa"/>
            <w:vAlign w:val="center"/>
          </w:tcPr>
          <w:p w:rsidR="00E20D47" w:rsidRDefault="00E20D47" w:rsidP="00E20D47">
            <w:r>
              <w:t>City of Monrovia</w:t>
            </w:r>
          </w:p>
        </w:tc>
        <w:tc>
          <w:tcPr>
            <w:tcW w:w="2016" w:type="dxa"/>
            <w:vAlign w:val="center"/>
          </w:tcPr>
          <w:p w:rsidR="00E20D47" w:rsidRPr="00BA13B7" w:rsidRDefault="00E20D47" w:rsidP="00E20D47">
            <w:pPr>
              <w:rPr>
                <w:rFonts w:cs="Times New Roman"/>
              </w:rPr>
            </w:pPr>
            <w:r>
              <w:rPr>
                <w:rFonts w:cs="Times New Roman"/>
              </w:rPr>
              <w:t>City government</w:t>
            </w:r>
          </w:p>
        </w:tc>
        <w:tc>
          <w:tcPr>
            <w:tcW w:w="2722" w:type="dxa"/>
            <w:vAlign w:val="center"/>
          </w:tcPr>
          <w:p w:rsidR="00E20D47" w:rsidRPr="004A4790" w:rsidRDefault="004A4790" w:rsidP="004A4790">
            <w:r w:rsidRPr="004A4790">
              <w:t>415 S</w:t>
            </w:r>
            <w:r w:rsidR="00213965">
              <w:t>.</w:t>
            </w:r>
            <w:r w:rsidRPr="004A4790">
              <w:t xml:space="preserve"> Ivy Ave</w:t>
            </w:r>
            <w:r>
              <w:t>.</w:t>
            </w:r>
            <w:r w:rsidRPr="004A4790">
              <w:t>, Monrovia, 91016</w:t>
            </w:r>
          </w:p>
        </w:tc>
        <w:sdt>
          <w:sdtPr>
            <w:id w:val="-212360175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50485813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953063971"/>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Pr>
                    <w:rFonts w:ascii="MS Gothic" w:eastAsia="MS Gothic" w:hAnsi="MS Gothic" w:hint="eastAsia"/>
                  </w:rPr>
                  <w:t>☐</w:t>
                </w:r>
              </w:p>
            </w:tc>
          </w:sdtContent>
        </w:sdt>
        <w:sdt>
          <w:sdtPr>
            <w:id w:val="-198176132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10236084"/>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89056374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904200262"/>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4369345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r>
              <w:t>Provides political support.</w:t>
            </w:r>
          </w:p>
        </w:tc>
      </w:tr>
      <w:tr w:rsidR="00E20D47" w:rsidRPr="00BA13B7" w:rsidTr="00023F3C">
        <w:trPr>
          <w:trHeight w:val="432"/>
        </w:trPr>
        <w:tc>
          <w:tcPr>
            <w:tcW w:w="3150" w:type="dxa"/>
            <w:vAlign w:val="center"/>
          </w:tcPr>
          <w:p w:rsidR="00E20D47" w:rsidRPr="00BA13B7" w:rsidRDefault="00E20D47" w:rsidP="00E20D47">
            <w:pPr>
              <w:rPr>
                <w:rFonts w:cs="Times New Roman"/>
              </w:rPr>
            </w:pPr>
            <w:r>
              <w:rPr>
                <w:rFonts w:cs="Times New Roman"/>
              </w:rPr>
              <w:t>City of Claremont</w:t>
            </w:r>
          </w:p>
        </w:tc>
        <w:tc>
          <w:tcPr>
            <w:tcW w:w="2016" w:type="dxa"/>
            <w:vAlign w:val="center"/>
          </w:tcPr>
          <w:p w:rsidR="00E20D47" w:rsidRPr="00BA13B7" w:rsidRDefault="00E20D47" w:rsidP="00E20D47">
            <w:pPr>
              <w:rPr>
                <w:rFonts w:cs="Times New Roman"/>
              </w:rPr>
            </w:pPr>
            <w:r>
              <w:rPr>
                <w:rFonts w:cs="Times New Roman"/>
              </w:rPr>
              <w:t>City government</w:t>
            </w:r>
          </w:p>
        </w:tc>
        <w:tc>
          <w:tcPr>
            <w:tcW w:w="2722" w:type="dxa"/>
            <w:vAlign w:val="center"/>
          </w:tcPr>
          <w:p w:rsidR="00E20D47" w:rsidRPr="004A4790" w:rsidRDefault="004A4790" w:rsidP="004A4790">
            <w:r w:rsidRPr="004A4790">
              <w:t>207 Harvard Ave. N., Claremont, 91711</w:t>
            </w:r>
          </w:p>
        </w:tc>
        <w:sdt>
          <w:sdtPr>
            <w:id w:val="157492818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40672425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713968893"/>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62415182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72700547"/>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08699517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652098468"/>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29830008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r>
              <w:t>Provides political support.</w:t>
            </w:r>
          </w:p>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t>One Justice</w:t>
            </w:r>
          </w:p>
        </w:tc>
        <w:tc>
          <w:tcPr>
            <w:tcW w:w="2016" w:type="dxa"/>
            <w:vAlign w:val="center"/>
          </w:tcPr>
          <w:p w:rsidR="00E20D47" w:rsidRPr="00BA13B7" w:rsidRDefault="00E20D47" w:rsidP="00E20D47">
            <w:pPr>
              <w:rPr>
                <w:rFonts w:cs="Times New Roman"/>
              </w:rPr>
            </w:pPr>
            <w:r>
              <w:rPr>
                <w:rFonts w:cs="Times New Roman"/>
              </w:rPr>
              <w:t>Citizenship &amp; Immigration a</w:t>
            </w:r>
            <w:r w:rsidRPr="00BA13B7">
              <w:rPr>
                <w:rFonts w:cs="Times New Roman"/>
              </w:rPr>
              <w:t>dvocate</w:t>
            </w:r>
          </w:p>
        </w:tc>
        <w:tc>
          <w:tcPr>
            <w:tcW w:w="2722" w:type="dxa"/>
            <w:vAlign w:val="center"/>
          </w:tcPr>
          <w:p w:rsidR="00E20D47" w:rsidRPr="008B6FF7" w:rsidRDefault="00E20D47" w:rsidP="00E20D47">
            <w:r w:rsidRPr="008B6FF7">
              <w:t>1055 Wilshire Blvd., Suite 1996</w:t>
            </w:r>
            <w:r>
              <w:t xml:space="preserve">, </w:t>
            </w:r>
            <w:r w:rsidRPr="008B6FF7">
              <w:t>Los Angeles, 90017</w:t>
            </w:r>
          </w:p>
        </w:tc>
        <w:sdt>
          <w:sdtPr>
            <w:id w:val="-152432198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8682017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009720017"/>
            <w14:checkbox>
              <w14:checked w14:val="1"/>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Pr>
                    <w:rFonts w:ascii="MS Gothic" w:eastAsia="MS Gothic" w:hAnsi="MS Gothic" w:hint="eastAsia"/>
                  </w:rPr>
                  <w:t>☒</w:t>
                </w:r>
              </w:p>
            </w:tc>
          </w:sdtContent>
        </w:sdt>
        <w:sdt>
          <w:sdtPr>
            <w:id w:val="51372917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411465030"/>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3115788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938357712"/>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90172391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Pomona Economic Opportunity Center</w:t>
            </w:r>
          </w:p>
        </w:tc>
        <w:tc>
          <w:tcPr>
            <w:tcW w:w="2016" w:type="dxa"/>
            <w:vAlign w:val="center"/>
          </w:tcPr>
          <w:p w:rsidR="00E20D47" w:rsidRPr="00BA13B7" w:rsidRDefault="00E20D47" w:rsidP="00E20D47">
            <w:pPr>
              <w:rPr>
                <w:rFonts w:cs="Times New Roman"/>
              </w:rPr>
            </w:pPr>
            <w:r w:rsidRPr="00BA13B7">
              <w:rPr>
                <w:rFonts w:cs="Times New Roman"/>
              </w:rPr>
              <w:t>Advocate representative</w:t>
            </w:r>
          </w:p>
        </w:tc>
        <w:tc>
          <w:tcPr>
            <w:tcW w:w="2722" w:type="dxa"/>
            <w:vAlign w:val="center"/>
          </w:tcPr>
          <w:p w:rsidR="00E20D47" w:rsidRPr="009317FC" w:rsidRDefault="00E20D47" w:rsidP="00E20D47">
            <w:r w:rsidRPr="009317FC">
              <w:t>1682 W</w:t>
            </w:r>
            <w:r>
              <w:t>.</w:t>
            </w:r>
            <w:r w:rsidRPr="009317FC">
              <w:t xml:space="preserve"> Mission Blvd</w:t>
            </w:r>
            <w:r>
              <w:t>.</w:t>
            </w:r>
            <w:r w:rsidRPr="009317FC">
              <w:t>, Pomona, CA 91766</w:t>
            </w:r>
          </w:p>
        </w:tc>
        <w:sdt>
          <w:sdtPr>
            <w:id w:val="7787326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33191512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861578724"/>
            <w14:checkbox>
              <w14:checked w14:val="1"/>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Pr>
                    <w:rFonts w:ascii="MS Gothic" w:eastAsia="MS Gothic" w:hAnsi="MS Gothic" w:hint="eastAsia"/>
                  </w:rPr>
                  <w:t>☒</w:t>
                </w:r>
              </w:p>
            </w:tc>
          </w:sdtContent>
        </w:sdt>
        <w:sdt>
          <w:sdtPr>
            <w:id w:val="-50913651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902814437"/>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70452792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761593534"/>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56067974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Central American Resource Center</w:t>
            </w:r>
          </w:p>
        </w:tc>
        <w:tc>
          <w:tcPr>
            <w:tcW w:w="2016" w:type="dxa"/>
            <w:vAlign w:val="center"/>
          </w:tcPr>
          <w:p w:rsidR="00E20D47" w:rsidRPr="00BA13B7" w:rsidRDefault="00E20D47" w:rsidP="00E20D47">
            <w:pPr>
              <w:rPr>
                <w:rFonts w:cs="Times New Roman"/>
              </w:rPr>
            </w:pPr>
            <w:r w:rsidRPr="00BA13B7">
              <w:rPr>
                <w:rFonts w:cs="Times New Roman"/>
              </w:rPr>
              <w:t>Citizenship &amp; Immigration Advocate</w:t>
            </w:r>
          </w:p>
        </w:tc>
        <w:tc>
          <w:tcPr>
            <w:tcW w:w="2722" w:type="dxa"/>
            <w:vAlign w:val="center"/>
          </w:tcPr>
          <w:p w:rsidR="00E20D47" w:rsidRPr="00FD1484" w:rsidRDefault="00E20D47" w:rsidP="00E20D47">
            <w:r>
              <w:t xml:space="preserve">2845 W. 7th St., Los Angeles, </w:t>
            </w:r>
            <w:r w:rsidRPr="00FD1484">
              <w:t>90005</w:t>
            </w:r>
          </w:p>
        </w:tc>
        <w:sdt>
          <w:sdtPr>
            <w:id w:val="60570118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03939417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100621096"/>
            <w14:checkbox>
              <w14:checked w14:val="1"/>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Pr>
                    <w:rFonts w:ascii="MS Gothic" w:eastAsia="MS Gothic" w:hAnsi="MS Gothic" w:hint="eastAsia"/>
                  </w:rPr>
                  <w:t>☒</w:t>
                </w:r>
              </w:p>
            </w:tc>
          </w:sdtContent>
        </w:sdt>
        <w:sdt>
          <w:sdtPr>
            <w:id w:val="201510854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762340151"/>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99339382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636480754"/>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05134944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Immigration Resource Center of San Gabriel Valley</w:t>
            </w:r>
          </w:p>
        </w:tc>
        <w:tc>
          <w:tcPr>
            <w:tcW w:w="2016" w:type="dxa"/>
            <w:vAlign w:val="center"/>
          </w:tcPr>
          <w:p w:rsidR="00E20D47" w:rsidRPr="00BA13B7" w:rsidRDefault="00E20D47" w:rsidP="00E20D47">
            <w:pPr>
              <w:rPr>
                <w:rFonts w:cs="Times New Roman"/>
              </w:rPr>
            </w:pPr>
            <w:r w:rsidRPr="00BA13B7">
              <w:rPr>
                <w:rFonts w:cs="Times New Roman"/>
              </w:rPr>
              <w:t>Advocate</w:t>
            </w:r>
          </w:p>
        </w:tc>
        <w:tc>
          <w:tcPr>
            <w:tcW w:w="2722" w:type="dxa"/>
            <w:vAlign w:val="center"/>
          </w:tcPr>
          <w:p w:rsidR="00E20D47" w:rsidRPr="00FD1484" w:rsidRDefault="00E20D47" w:rsidP="00E20D47">
            <w:r w:rsidRPr="00FD1484">
              <w:t>30</w:t>
            </w:r>
            <w:r>
              <w:t>3 W</w:t>
            </w:r>
            <w:r w:rsidR="00213965">
              <w:t>.</w:t>
            </w:r>
            <w:r>
              <w:t xml:space="preserve"> Colorado Blvd</w:t>
            </w:r>
            <w:r w:rsidR="00213965">
              <w:t>.</w:t>
            </w:r>
            <w:r>
              <w:t xml:space="preserve">, Monrovia, </w:t>
            </w:r>
            <w:r w:rsidRPr="00FD1484">
              <w:t>91016</w:t>
            </w:r>
          </w:p>
        </w:tc>
        <w:sdt>
          <w:sdtPr>
            <w:id w:val="-89767258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01690870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212724459"/>
            <w14:checkbox>
              <w14:checked w14:val="1"/>
              <w14:checkedState w14:val="2612" w14:font="MS Gothic"/>
              <w14:uncheckedState w14:val="2610" w14:font="MS Gothic"/>
            </w14:checkbox>
          </w:sdtPr>
          <w:sdtEndPr/>
          <w:sdtContent>
            <w:tc>
              <w:tcPr>
                <w:tcW w:w="503" w:type="dxa"/>
                <w:vAlign w:val="center"/>
              </w:tcPr>
              <w:p w:rsidR="00E20D47" w:rsidRPr="00BA13B7" w:rsidRDefault="004A4790" w:rsidP="00E20D47">
                <w:pPr>
                  <w:jc w:val="center"/>
                </w:pPr>
                <w:r>
                  <w:rPr>
                    <w:rFonts w:ascii="MS Gothic" w:eastAsia="MS Gothic" w:hAnsi="MS Gothic" w:hint="eastAsia"/>
                  </w:rPr>
                  <w:t>☒</w:t>
                </w:r>
              </w:p>
            </w:tc>
          </w:sdtContent>
        </w:sdt>
        <w:sdt>
          <w:sdtPr>
            <w:id w:val="-130222889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309323682"/>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51905677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489984543"/>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787613033"/>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 xml:space="preserve">El </w:t>
            </w:r>
            <w:proofErr w:type="spellStart"/>
            <w:r w:rsidRPr="00BA13B7">
              <w:rPr>
                <w:rFonts w:cs="Times New Roman"/>
              </w:rPr>
              <w:t>Proyecto</w:t>
            </w:r>
            <w:proofErr w:type="spellEnd"/>
            <w:r w:rsidRPr="00BA13B7">
              <w:rPr>
                <w:rFonts w:cs="Times New Roman"/>
              </w:rPr>
              <w:t xml:space="preserve"> Del Barrio Clinic</w:t>
            </w:r>
          </w:p>
        </w:tc>
        <w:tc>
          <w:tcPr>
            <w:tcW w:w="2016" w:type="dxa"/>
            <w:vAlign w:val="center"/>
          </w:tcPr>
          <w:p w:rsidR="00E20D47" w:rsidRPr="00BA13B7" w:rsidRDefault="00E20D47" w:rsidP="00E20D47">
            <w:pPr>
              <w:rPr>
                <w:rFonts w:cs="Times New Roman"/>
              </w:rPr>
            </w:pPr>
            <w:r>
              <w:rPr>
                <w:rFonts w:cs="Times New Roman"/>
              </w:rPr>
              <w:t>Medical s</w:t>
            </w:r>
            <w:r w:rsidRPr="00BA13B7">
              <w:rPr>
                <w:rFonts w:cs="Times New Roman"/>
              </w:rPr>
              <w:t>ervices</w:t>
            </w:r>
          </w:p>
        </w:tc>
        <w:tc>
          <w:tcPr>
            <w:tcW w:w="2722" w:type="dxa"/>
            <w:vAlign w:val="center"/>
          </w:tcPr>
          <w:p w:rsidR="00E20D47" w:rsidRPr="00FD1484" w:rsidRDefault="00E20D47" w:rsidP="00E20D47">
            <w:r w:rsidRPr="00FD1484">
              <w:t>150 N</w:t>
            </w:r>
            <w:r w:rsidR="00213965">
              <w:t>.</w:t>
            </w:r>
            <w:r w:rsidRPr="00FD1484">
              <w:t xml:space="preserve"> Azusa Ave</w:t>
            </w:r>
            <w:r w:rsidR="00213965">
              <w:t>.</w:t>
            </w:r>
            <w:r w:rsidRPr="00FD1484">
              <w:t>, Azusa,  91702</w:t>
            </w:r>
          </w:p>
        </w:tc>
        <w:sdt>
          <w:sdtPr>
            <w:id w:val="120791308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24984887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252191478"/>
            <w14:checkbox>
              <w14:checked w14:val="1"/>
              <w14:checkedState w14:val="2612" w14:font="MS Gothic"/>
              <w14:uncheckedState w14:val="2610" w14:font="MS Gothic"/>
            </w14:checkbox>
          </w:sdtPr>
          <w:sdtEndPr/>
          <w:sdtContent>
            <w:tc>
              <w:tcPr>
                <w:tcW w:w="503" w:type="dxa"/>
                <w:vAlign w:val="center"/>
              </w:tcPr>
              <w:p w:rsidR="00E20D47" w:rsidRPr="00BA13B7" w:rsidRDefault="004A4790" w:rsidP="00E20D47">
                <w:pPr>
                  <w:jc w:val="center"/>
                </w:pPr>
                <w:r>
                  <w:rPr>
                    <w:rFonts w:ascii="MS Gothic" w:eastAsia="MS Gothic" w:hAnsi="MS Gothic" w:hint="eastAsia"/>
                  </w:rPr>
                  <w:t>☒</w:t>
                </w:r>
              </w:p>
            </w:tc>
          </w:sdtContent>
        </w:sdt>
        <w:sdt>
          <w:sdtPr>
            <w:id w:val="-157697083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85268851"/>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84847839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480668877"/>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07062146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lastRenderedPageBreak/>
              <w:t>Azusa City Parks &amp; Recreation</w:t>
            </w:r>
          </w:p>
        </w:tc>
        <w:tc>
          <w:tcPr>
            <w:tcW w:w="2016" w:type="dxa"/>
            <w:vAlign w:val="center"/>
          </w:tcPr>
          <w:p w:rsidR="00E20D47" w:rsidRPr="00BA13B7" w:rsidRDefault="00E20D47" w:rsidP="00E20D47">
            <w:pPr>
              <w:rPr>
                <w:rFonts w:cs="Times New Roman"/>
              </w:rPr>
            </w:pPr>
            <w:r>
              <w:rPr>
                <w:rFonts w:cs="Times New Roman"/>
              </w:rPr>
              <w:t>Community s</w:t>
            </w:r>
            <w:r w:rsidRPr="00BA13B7">
              <w:rPr>
                <w:rFonts w:cs="Times New Roman"/>
              </w:rPr>
              <w:t>ervices</w:t>
            </w:r>
          </w:p>
        </w:tc>
        <w:tc>
          <w:tcPr>
            <w:tcW w:w="2722" w:type="dxa"/>
            <w:vAlign w:val="center"/>
          </w:tcPr>
          <w:p w:rsidR="00E20D47" w:rsidRPr="00BA13B7" w:rsidRDefault="00E20D47" w:rsidP="00E20D47">
            <w:pPr>
              <w:rPr>
                <w:rFonts w:cs="Times New Roman"/>
              </w:rPr>
            </w:pPr>
            <w:r w:rsidRPr="00BA13B7">
              <w:rPr>
                <w:rFonts w:cs="Times New Roman"/>
              </w:rPr>
              <w:t xml:space="preserve"> </w:t>
            </w:r>
            <w:r w:rsidR="008557B8" w:rsidRPr="004A4790">
              <w:t>213 E</w:t>
            </w:r>
            <w:r w:rsidR="00213965">
              <w:t>.</w:t>
            </w:r>
            <w:r w:rsidR="008557B8" w:rsidRPr="004A4790">
              <w:t xml:space="preserve"> Foothill Blvd</w:t>
            </w:r>
            <w:r w:rsidR="00213965">
              <w:t>.</w:t>
            </w:r>
            <w:r w:rsidR="008557B8" w:rsidRPr="004A4790">
              <w:t>, Azusa,  91702</w:t>
            </w:r>
          </w:p>
        </w:tc>
        <w:sdt>
          <w:sdtPr>
            <w:id w:val="178739027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53255686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834426916"/>
            <w14:checkbox>
              <w14:checked w14:val="1"/>
              <w14:checkedState w14:val="2612" w14:font="MS Gothic"/>
              <w14:uncheckedState w14:val="2610" w14:font="MS Gothic"/>
            </w14:checkbox>
          </w:sdtPr>
          <w:sdtEndPr/>
          <w:sdtContent>
            <w:tc>
              <w:tcPr>
                <w:tcW w:w="503" w:type="dxa"/>
                <w:vAlign w:val="center"/>
              </w:tcPr>
              <w:p w:rsidR="00E20D47" w:rsidRPr="00BA13B7" w:rsidRDefault="004A4790" w:rsidP="00E20D47">
                <w:pPr>
                  <w:jc w:val="center"/>
                </w:pPr>
                <w:r>
                  <w:rPr>
                    <w:rFonts w:ascii="MS Gothic" w:eastAsia="MS Gothic" w:hAnsi="MS Gothic" w:hint="eastAsia"/>
                  </w:rPr>
                  <w:t>☒</w:t>
                </w:r>
              </w:p>
            </w:tc>
          </w:sdtContent>
        </w:sdt>
        <w:sdt>
          <w:sdtPr>
            <w:id w:val="-150743554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866678124"/>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45910457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970870360"/>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13190185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Pr>
                <w:rFonts w:cs="Times New Roman"/>
              </w:rPr>
              <w:t>Dr. Phil Show</w:t>
            </w:r>
          </w:p>
        </w:tc>
        <w:tc>
          <w:tcPr>
            <w:tcW w:w="2016" w:type="dxa"/>
            <w:vAlign w:val="center"/>
          </w:tcPr>
          <w:p w:rsidR="00E20D47" w:rsidRPr="00BA13B7" w:rsidRDefault="00E20D47" w:rsidP="00E20D47">
            <w:pPr>
              <w:rPr>
                <w:rFonts w:cs="Times New Roman"/>
              </w:rPr>
            </w:pPr>
            <w:r>
              <w:rPr>
                <w:rFonts w:cs="Times New Roman"/>
              </w:rPr>
              <w:t>Television Show</w:t>
            </w:r>
          </w:p>
        </w:tc>
        <w:tc>
          <w:tcPr>
            <w:tcW w:w="2722" w:type="dxa"/>
            <w:vAlign w:val="center"/>
          </w:tcPr>
          <w:p w:rsidR="00E20D47" w:rsidRPr="008557B8" w:rsidRDefault="008557B8" w:rsidP="008557B8">
            <w:r>
              <w:t xml:space="preserve">898 N. Gower St., Los Angeles, </w:t>
            </w:r>
            <w:r w:rsidRPr="008557B8">
              <w:t>90038</w:t>
            </w:r>
          </w:p>
        </w:tc>
        <w:sdt>
          <w:sdtPr>
            <w:id w:val="-432360016"/>
            <w14:checkbox>
              <w14:checked w14:val="1"/>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208760289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357349791"/>
            <w14:checkbox>
              <w14:checked w14:val="1"/>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Pr>
                    <w:rFonts w:ascii="MS Gothic" w:eastAsia="MS Gothic" w:hAnsi="MS Gothic" w:hint="eastAsia"/>
                  </w:rPr>
                  <w:t>☒</w:t>
                </w:r>
              </w:p>
            </w:tc>
          </w:sdtContent>
        </w:sdt>
        <w:sdt>
          <w:sdtPr>
            <w:id w:val="138028502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733848870"/>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46904352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146276149"/>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73141947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r>
              <w:t>Provides free admission for acculturation of students</w:t>
            </w:r>
          </w:p>
        </w:tc>
      </w:tr>
      <w:tr w:rsidR="00E20D47" w:rsidRPr="00BA13B7" w:rsidTr="00023F3C">
        <w:trPr>
          <w:trHeight w:val="432"/>
        </w:trPr>
        <w:tc>
          <w:tcPr>
            <w:tcW w:w="3150" w:type="dxa"/>
            <w:vAlign w:val="center"/>
          </w:tcPr>
          <w:p w:rsidR="00E20D47" w:rsidRPr="00BA13B7" w:rsidRDefault="00E20D47" w:rsidP="00E20D47">
            <w:pPr>
              <w:rPr>
                <w:rFonts w:cs="Times New Roman"/>
              </w:rPr>
            </w:pPr>
            <w:r w:rsidRPr="00BA13B7">
              <w:rPr>
                <w:rFonts w:cs="Times New Roman"/>
              </w:rPr>
              <w:t xml:space="preserve">Azusa </w:t>
            </w:r>
            <w:r>
              <w:rPr>
                <w:rFonts w:cs="Times New Roman"/>
              </w:rPr>
              <w:t>USD</w:t>
            </w:r>
          </w:p>
        </w:tc>
        <w:tc>
          <w:tcPr>
            <w:tcW w:w="2016" w:type="dxa"/>
            <w:vAlign w:val="center"/>
          </w:tcPr>
          <w:p w:rsidR="00E20D47" w:rsidRPr="00BA13B7" w:rsidRDefault="00E20D47" w:rsidP="00E20D47">
            <w:pPr>
              <w:rPr>
                <w:rFonts w:cs="Times New Roman"/>
              </w:rPr>
            </w:pPr>
            <w:r w:rsidRPr="00BA13B7">
              <w:rPr>
                <w:rFonts w:cs="Times New Roman"/>
              </w:rPr>
              <w:t>Local Educational Institution</w:t>
            </w:r>
          </w:p>
        </w:tc>
        <w:tc>
          <w:tcPr>
            <w:tcW w:w="2722" w:type="dxa"/>
            <w:vAlign w:val="center"/>
          </w:tcPr>
          <w:p w:rsidR="00E20D47" w:rsidRPr="00213965" w:rsidRDefault="008557B8" w:rsidP="00213965">
            <w:r w:rsidRPr="00213965">
              <w:t>546 S. Citrus Ave</w:t>
            </w:r>
            <w:r w:rsidR="00213965" w:rsidRPr="00213965">
              <w:t>.</w:t>
            </w:r>
            <w:r w:rsidR="00213965">
              <w:t xml:space="preserve">, Azusa, </w:t>
            </w:r>
            <w:r w:rsidRPr="00213965">
              <w:t>91702</w:t>
            </w:r>
          </w:p>
        </w:tc>
        <w:sdt>
          <w:sdtPr>
            <w:id w:val="136455391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559013993"/>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067228787"/>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1835468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704904350"/>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15143863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815837401"/>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68463911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pPr>
              <w:rPr>
                <w:rFonts w:cs="Times New Roman"/>
              </w:rPr>
            </w:pPr>
            <w:r>
              <w:rPr>
                <w:rFonts w:cs="Times New Roman"/>
              </w:rPr>
              <w:t>Claremont USD</w:t>
            </w:r>
          </w:p>
        </w:tc>
        <w:tc>
          <w:tcPr>
            <w:tcW w:w="2016" w:type="dxa"/>
            <w:vAlign w:val="center"/>
          </w:tcPr>
          <w:p w:rsidR="00E20D47" w:rsidRPr="00BA13B7" w:rsidRDefault="00E20D47" w:rsidP="00E20D47">
            <w:pPr>
              <w:rPr>
                <w:rFonts w:cs="Times New Roman"/>
              </w:rPr>
            </w:pPr>
            <w:r w:rsidRPr="00BA13B7">
              <w:rPr>
                <w:rFonts w:cs="Times New Roman"/>
              </w:rPr>
              <w:t>Local Educational Institution</w:t>
            </w:r>
          </w:p>
        </w:tc>
        <w:tc>
          <w:tcPr>
            <w:tcW w:w="2722" w:type="dxa"/>
            <w:vAlign w:val="center"/>
          </w:tcPr>
          <w:p w:rsidR="00E20D47" w:rsidRPr="00213965" w:rsidRDefault="00213965" w:rsidP="00213965">
            <w:r w:rsidRPr="00213965">
              <w:t>170 W. San Jose Ave. Claremont, 91711</w:t>
            </w:r>
          </w:p>
        </w:tc>
        <w:sdt>
          <w:sdtPr>
            <w:id w:val="48444868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Pr>
                    <w:rFonts w:ascii="MS Gothic" w:eastAsia="MS Gothic" w:hAnsi="MS Gothic" w:hint="eastAsia"/>
                  </w:rPr>
                  <w:t>☐</w:t>
                </w:r>
              </w:p>
            </w:tc>
          </w:sdtContent>
        </w:sdt>
        <w:sdt>
          <w:sdtPr>
            <w:id w:val="116142816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768937563"/>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496103945"/>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90953316"/>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022156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39143602"/>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02178776"/>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r>
              <w:t>Glendora USD</w:t>
            </w:r>
          </w:p>
        </w:tc>
        <w:tc>
          <w:tcPr>
            <w:tcW w:w="2016" w:type="dxa"/>
            <w:vAlign w:val="center"/>
          </w:tcPr>
          <w:p w:rsidR="00E20D47" w:rsidRPr="00BA13B7" w:rsidRDefault="00E20D47" w:rsidP="00E20D47">
            <w:pPr>
              <w:rPr>
                <w:rFonts w:cs="Times New Roman"/>
              </w:rPr>
            </w:pPr>
            <w:r w:rsidRPr="00BA13B7">
              <w:rPr>
                <w:rFonts w:cs="Times New Roman"/>
              </w:rPr>
              <w:t>Local Educational Institution</w:t>
            </w:r>
          </w:p>
        </w:tc>
        <w:tc>
          <w:tcPr>
            <w:tcW w:w="2722" w:type="dxa"/>
            <w:vAlign w:val="center"/>
          </w:tcPr>
          <w:p w:rsidR="00E20D47" w:rsidRPr="00213965" w:rsidRDefault="00213965" w:rsidP="00213965">
            <w:r w:rsidRPr="00213965">
              <w:t>500 N</w:t>
            </w:r>
            <w:r>
              <w:t xml:space="preserve">. Loraine Ave. Glendora, </w:t>
            </w:r>
            <w:r w:rsidRPr="00213965">
              <w:t>91741</w:t>
            </w:r>
          </w:p>
        </w:tc>
        <w:sdt>
          <w:sdtPr>
            <w:id w:val="125061207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34554689"/>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488095455"/>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81504284"/>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119840499"/>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572327823"/>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411515753"/>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98099051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r w:rsidR="00E20D47" w:rsidRPr="00BA13B7" w:rsidTr="00023F3C">
        <w:trPr>
          <w:trHeight w:val="432"/>
        </w:trPr>
        <w:tc>
          <w:tcPr>
            <w:tcW w:w="3150" w:type="dxa"/>
            <w:vAlign w:val="center"/>
          </w:tcPr>
          <w:p w:rsidR="00E20D47" w:rsidRPr="00BA13B7" w:rsidRDefault="00E20D47" w:rsidP="00E20D47">
            <w:r>
              <w:t>Monrovia USD</w:t>
            </w:r>
          </w:p>
        </w:tc>
        <w:tc>
          <w:tcPr>
            <w:tcW w:w="2016" w:type="dxa"/>
            <w:vAlign w:val="center"/>
          </w:tcPr>
          <w:p w:rsidR="00E20D47" w:rsidRPr="00BA13B7" w:rsidRDefault="00E20D47" w:rsidP="00E20D47">
            <w:pPr>
              <w:rPr>
                <w:rFonts w:cs="Times New Roman"/>
              </w:rPr>
            </w:pPr>
            <w:r w:rsidRPr="00BA13B7">
              <w:rPr>
                <w:rFonts w:cs="Times New Roman"/>
              </w:rPr>
              <w:t>Local Educational Institution</w:t>
            </w:r>
          </w:p>
        </w:tc>
        <w:tc>
          <w:tcPr>
            <w:tcW w:w="2722" w:type="dxa"/>
            <w:vAlign w:val="center"/>
          </w:tcPr>
          <w:p w:rsidR="00E20D47" w:rsidRPr="00213965" w:rsidRDefault="00213965" w:rsidP="00213965">
            <w:r w:rsidRPr="00213965">
              <w:t>325 E</w:t>
            </w:r>
            <w:r>
              <w:t>.</w:t>
            </w:r>
            <w:r w:rsidRPr="00213965">
              <w:t xml:space="preserve"> Huntington Dr</w:t>
            </w:r>
            <w:r>
              <w:t xml:space="preserve">., Monrovia, </w:t>
            </w:r>
            <w:r w:rsidRPr="00213965">
              <w:t>91016</w:t>
            </w:r>
          </w:p>
        </w:tc>
        <w:sdt>
          <w:sdtPr>
            <w:id w:val="-1920775321"/>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26577042"/>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229664694"/>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0146867"/>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513765427"/>
            <w14:checkbox>
              <w14:checked w14:val="0"/>
              <w14:checkedState w14:val="2612" w14:font="MS Gothic"/>
              <w14:uncheckedState w14:val="2610" w14:font="MS Gothic"/>
            </w14:checkbox>
          </w:sdtPr>
          <w:sdtEndPr/>
          <w:sdtContent>
            <w:tc>
              <w:tcPr>
                <w:tcW w:w="559"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1330907968"/>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761532761"/>
            <w14:checkbox>
              <w14:checked w14:val="0"/>
              <w14:checkedState w14:val="2612" w14:font="MS Gothic"/>
              <w14:uncheckedState w14:val="2610" w14:font="MS Gothic"/>
            </w14:checkbox>
          </w:sdtPr>
          <w:sdtEndPr/>
          <w:sdtContent>
            <w:tc>
              <w:tcPr>
                <w:tcW w:w="503"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sdt>
          <w:sdtPr>
            <w:id w:val="-640118740"/>
            <w14:checkbox>
              <w14:checked w14:val="0"/>
              <w14:checkedState w14:val="2612" w14:font="MS Gothic"/>
              <w14:uncheckedState w14:val="2610" w14:font="MS Gothic"/>
            </w14:checkbox>
          </w:sdtPr>
          <w:sdtEndPr/>
          <w:sdtContent>
            <w:tc>
              <w:tcPr>
                <w:tcW w:w="504" w:type="dxa"/>
                <w:vAlign w:val="center"/>
              </w:tcPr>
              <w:p w:rsidR="00E20D47" w:rsidRPr="00BA13B7" w:rsidRDefault="00E20D47" w:rsidP="00E20D47">
                <w:pPr>
                  <w:jc w:val="center"/>
                </w:pPr>
                <w:r w:rsidRPr="00BA13B7">
                  <w:rPr>
                    <w:rFonts w:ascii="Segoe UI Symbol" w:eastAsia="MS Gothic" w:hAnsi="Segoe UI Symbol" w:cs="Segoe UI Symbol"/>
                  </w:rPr>
                  <w:t>☐</w:t>
                </w:r>
              </w:p>
            </w:tc>
          </w:sdtContent>
        </w:sdt>
        <w:tc>
          <w:tcPr>
            <w:tcW w:w="2692" w:type="dxa"/>
            <w:vAlign w:val="center"/>
          </w:tcPr>
          <w:p w:rsidR="00E20D47" w:rsidRPr="00BA13B7" w:rsidRDefault="00E20D47" w:rsidP="00E20D47"/>
        </w:tc>
      </w:tr>
    </w:tbl>
    <w:p w:rsidR="003C027C" w:rsidRPr="00BA13B7" w:rsidRDefault="003C027C" w:rsidP="003C027C"/>
    <w:p w:rsidR="003C027C" w:rsidRPr="00BA13B7" w:rsidRDefault="003C027C" w:rsidP="003C027C">
      <w:pPr>
        <w:sectPr w:rsidR="003C027C" w:rsidRPr="00BA13B7" w:rsidSect="00C73978">
          <w:pgSz w:w="15840" w:h="12240" w:orient="landscape"/>
          <w:pgMar w:top="1800" w:right="720" w:bottom="1440" w:left="720" w:header="720" w:footer="720" w:gutter="0"/>
          <w:cols w:space="720"/>
          <w:docGrid w:linePitch="360"/>
        </w:sectPr>
      </w:pPr>
    </w:p>
    <w:p w:rsidR="00741E3B" w:rsidRDefault="00AB5FF1" w:rsidP="00AB5FF1">
      <w:r>
        <w:lastRenderedPageBreak/>
        <w:t>Table 2 below shows how the above-discussed</w:t>
      </w:r>
      <w:r w:rsidR="00741E3B">
        <w:t xml:space="preserve"> partnerships and alignment of services have </w:t>
      </w:r>
      <w:r>
        <w:t xml:space="preserve">resulted in significant amount of funds being leveraged to provide additional services for regional adults. For the 2019-20 school year, the consortium is estimating a funding total of $5,980,079. Of that total, $1,558,250 are leveraged funds. That amount represents 26% of the consortium funding total. The consortium is excited and proud of its </w:t>
      </w:r>
      <w:r w:rsidR="00C73978">
        <w:t xml:space="preserve">partnership and alignment </w:t>
      </w:r>
      <w:r>
        <w:t>efforts that have brought in more than 1/4</w:t>
      </w:r>
      <w:r w:rsidRPr="00AB5FF1">
        <w:rPr>
          <w:vertAlign w:val="superscript"/>
        </w:rPr>
        <w:t>th</w:t>
      </w:r>
      <w:r>
        <w:t xml:space="preserve"> of the total funding budget.</w:t>
      </w:r>
    </w:p>
    <w:p w:rsidR="00AD538F" w:rsidRPr="00BA13B7" w:rsidRDefault="003C027C" w:rsidP="003C027C">
      <w:pPr>
        <w:pStyle w:val="Heading3"/>
        <w:spacing w:before="0" w:after="120"/>
        <w:rPr>
          <w:rFonts w:asciiTheme="minorHAnsi" w:hAnsiTheme="minorHAnsi"/>
        </w:rPr>
      </w:pPr>
      <w:bookmarkStart w:id="11" w:name="_Toc10804132"/>
      <w:r w:rsidRPr="00BA13B7">
        <w:rPr>
          <w:rFonts w:asciiTheme="minorHAnsi" w:hAnsiTheme="minorHAnsi"/>
        </w:rPr>
        <w:t>Table 2. Funding for Adult Education Programs and Services</w:t>
      </w:r>
      <w:bookmarkEnd w:id="11"/>
    </w:p>
    <w:tbl>
      <w:tblPr>
        <w:tblStyle w:val="TableGrid"/>
        <w:tblW w:w="9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160"/>
        <w:gridCol w:w="2160"/>
        <w:gridCol w:w="2160"/>
      </w:tblGrid>
      <w:tr w:rsidR="003C027C" w:rsidRPr="00BA13B7" w:rsidTr="003C027C">
        <w:trPr>
          <w:trHeight w:val="864"/>
        </w:trPr>
        <w:tc>
          <w:tcPr>
            <w:tcW w:w="2880" w:type="dxa"/>
            <w:tcBorders>
              <w:bottom w:val="single" w:sz="4" w:space="0" w:color="A6A6A6" w:themeColor="background1" w:themeShade="A6"/>
            </w:tcBorders>
            <w:shd w:val="clear" w:color="auto" w:fill="002060"/>
            <w:vAlign w:val="center"/>
          </w:tcPr>
          <w:p w:rsidR="003C027C" w:rsidRPr="00BA13B7" w:rsidRDefault="00ED5D93" w:rsidP="003C027C">
            <w:pPr>
              <w:jc w:val="center"/>
              <w:rPr>
                <w:color w:val="FFFFFF" w:themeColor="background1"/>
              </w:rPr>
            </w:pPr>
            <w:r w:rsidRPr="00BA13B7">
              <w:rPr>
                <w:color w:val="FFFFFF" w:themeColor="background1"/>
              </w:rPr>
              <w:t>Source and Type of Funds</w:t>
            </w:r>
          </w:p>
        </w:tc>
        <w:tc>
          <w:tcPr>
            <w:tcW w:w="2160" w:type="dxa"/>
            <w:tcBorders>
              <w:bottom w:val="single" w:sz="4" w:space="0" w:color="A6A6A6" w:themeColor="background1" w:themeShade="A6"/>
            </w:tcBorders>
            <w:shd w:val="clear" w:color="auto" w:fill="002060"/>
            <w:vAlign w:val="center"/>
          </w:tcPr>
          <w:p w:rsidR="003C027C" w:rsidRPr="00BA13B7" w:rsidRDefault="00ED5D93" w:rsidP="003C027C">
            <w:pPr>
              <w:jc w:val="center"/>
              <w:rPr>
                <w:color w:val="FFFFFF" w:themeColor="background1"/>
              </w:rPr>
            </w:pPr>
            <w:r w:rsidRPr="00BA13B7">
              <w:rPr>
                <w:color w:val="FFFFFF" w:themeColor="background1"/>
              </w:rPr>
              <w:t>Funding Estimates</w:t>
            </w:r>
          </w:p>
          <w:p w:rsidR="00ED5D93" w:rsidRPr="00BA13B7" w:rsidRDefault="00ED5D93" w:rsidP="003C027C">
            <w:pPr>
              <w:jc w:val="center"/>
              <w:rPr>
                <w:color w:val="FFFFFF" w:themeColor="background1"/>
              </w:rPr>
            </w:pPr>
            <w:r w:rsidRPr="00BA13B7">
              <w:rPr>
                <w:color w:val="FFFFFF" w:themeColor="background1"/>
              </w:rPr>
              <w:t>FY 2019-20</w:t>
            </w:r>
          </w:p>
        </w:tc>
        <w:tc>
          <w:tcPr>
            <w:tcW w:w="2160" w:type="dxa"/>
            <w:tcBorders>
              <w:bottom w:val="single" w:sz="4" w:space="0" w:color="A6A6A6" w:themeColor="background1" w:themeShade="A6"/>
            </w:tcBorders>
            <w:shd w:val="clear" w:color="auto" w:fill="002060"/>
            <w:vAlign w:val="center"/>
          </w:tcPr>
          <w:p w:rsidR="00ED5D93" w:rsidRPr="00BA13B7" w:rsidRDefault="00ED5D93" w:rsidP="00ED5D93">
            <w:pPr>
              <w:jc w:val="center"/>
              <w:rPr>
                <w:color w:val="FFFFFF" w:themeColor="background1"/>
              </w:rPr>
            </w:pPr>
            <w:r w:rsidRPr="00BA13B7">
              <w:rPr>
                <w:color w:val="FFFFFF" w:themeColor="background1"/>
              </w:rPr>
              <w:t>Funding Estimates</w:t>
            </w:r>
          </w:p>
          <w:p w:rsidR="003C027C" w:rsidRPr="00BA13B7" w:rsidRDefault="00ED5D93" w:rsidP="00ED5D93">
            <w:pPr>
              <w:jc w:val="center"/>
              <w:rPr>
                <w:color w:val="FFFFFF" w:themeColor="background1"/>
              </w:rPr>
            </w:pPr>
            <w:r w:rsidRPr="00BA13B7">
              <w:rPr>
                <w:color w:val="FFFFFF" w:themeColor="background1"/>
              </w:rPr>
              <w:t>FY 2020-21</w:t>
            </w:r>
          </w:p>
        </w:tc>
        <w:tc>
          <w:tcPr>
            <w:tcW w:w="2160" w:type="dxa"/>
            <w:tcBorders>
              <w:bottom w:val="single" w:sz="4" w:space="0" w:color="A6A6A6" w:themeColor="background1" w:themeShade="A6"/>
            </w:tcBorders>
            <w:shd w:val="clear" w:color="auto" w:fill="002060"/>
            <w:vAlign w:val="center"/>
          </w:tcPr>
          <w:p w:rsidR="00ED5D93" w:rsidRPr="00BA13B7" w:rsidRDefault="00ED5D93" w:rsidP="00ED5D93">
            <w:pPr>
              <w:jc w:val="center"/>
              <w:rPr>
                <w:color w:val="FFFFFF" w:themeColor="background1"/>
              </w:rPr>
            </w:pPr>
            <w:r w:rsidRPr="00BA13B7">
              <w:rPr>
                <w:color w:val="FFFFFF" w:themeColor="background1"/>
              </w:rPr>
              <w:t>Funding Estimates</w:t>
            </w:r>
          </w:p>
          <w:p w:rsidR="003C027C" w:rsidRPr="00BA13B7" w:rsidRDefault="00ED5D93" w:rsidP="00ED5D93">
            <w:pPr>
              <w:jc w:val="center"/>
              <w:rPr>
                <w:color w:val="FFFFFF" w:themeColor="background1"/>
              </w:rPr>
            </w:pPr>
            <w:r w:rsidRPr="00BA13B7">
              <w:rPr>
                <w:color w:val="FFFFFF" w:themeColor="background1"/>
              </w:rPr>
              <w:t>FY 2021-22</w:t>
            </w:r>
          </w:p>
        </w:tc>
      </w:tr>
      <w:tr w:rsidR="003C027C" w:rsidRPr="00BA13B7" w:rsidTr="003C027C">
        <w:trPr>
          <w:trHeight w:val="432"/>
        </w:trPr>
        <w:tc>
          <w:tcPr>
            <w:tcW w:w="9360" w:type="dxa"/>
            <w:gridSpan w:val="4"/>
            <w:shd w:val="clear" w:color="auto" w:fill="BFBFBF" w:themeFill="background1" w:themeFillShade="BF"/>
            <w:vAlign w:val="center"/>
          </w:tcPr>
          <w:p w:rsidR="003C027C" w:rsidRPr="00BA13B7" w:rsidRDefault="00ED5D93" w:rsidP="003C027C">
            <w:r w:rsidRPr="00BA13B7">
              <w:t>State / Federal Funding</w:t>
            </w:r>
          </w:p>
        </w:tc>
      </w:tr>
      <w:tr w:rsidR="003C027C" w:rsidRPr="00BA13B7" w:rsidTr="00ED5D93">
        <w:trPr>
          <w:trHeight w:val="432"/>
        </w:trPr>
        <w:tc>
          <w:tcPr>
            <w:tcW w:w="2880" w:type="dxa"/>
            <w:vAlign w:val="center"/>
          </w:tcPr>
          <w:p w:rsidR="003C027C" w:rsidRPr="00BA13B7" w:rsidRDefault="00ED5D93" w:rsidP="00ED5D93">
            <w:r w:rsidRPr="00BA13B7">
              <w:t>AEP</w:t>
            </w:r>
          </w:p>
        </w:tc>
        <w:tc>
          <w:tcPr>
            <w:tcW w:w="2160" w:type="dxa"/>
            <w:vAlign w:val="center"/>
          </w:tcPr>
          <w:p w:rsidR="003C027C" w:rsidRPr="00BA13B7" w:rsidRDefault="00DD602A" w:rsidP="00ED5D93">
            <w:pPr>
              <w:jc w:val="right"/>
            </w:pPr>
            <w:r w:rsidRPr="00BA13B7">
              <w:t>$4,421,829</w:t>
            </w:r>
          </w:p>
        </w:tc>
        <w:tc>
          <w:tcPr>
            <w:tcW w:w="2160" w:type="dxa"/>
            <w:vAlign w:val="center"/>
          </w:tcPr>
          <w:p w:rsidR="003C027C" w:rsidRPr="00BA13B7" w:rsidRDefault="00DD602A" w:rsidP="00ED5D93">
            <w:pPr>
              <w:jc w:val="right"/>
            </w:pPr>
            <w:r w:rsidRPr="00BA13B7">
              <w:t>$4,421,829</w:t>
            </w:r>
          </w:p>
        </w:tc>
        <w:tc>
          <w:tcPr>
            <w:tcW w:w="2160" w:type="dxa"/>
            <w:vAlign w:val="center"/>
          </w:tcPr>
          <w:p w:rsidR="003C027C" w:rsidRPr="00BA13B7" w:rsidRDefault="00480175" w:rsidP="00ED5D93">
            <w:pPr>
              <w:jc w:val="right"/>
            </w:pPr>
            <w:r w:rsidRPr="00BA13B7">
              <w:t>$</w:t>
            </w:r>
            <w:r w:rsidR="00DD602A" w:rsidRPr="00BA13B7">
              <w:t>4,554,484</w:t>
            </w:r>
          </w:p>
        </w:tc>
      </w:tr>
      <w:tr w:rsidR="003C027C" w:rsidRPr="00BA13B7" w:rsidTr="00ED5D93">
        <w:trPr>
          <w:trHeight w:val="432"/>
        </w:trPr>
        <w:tc>
          <w:tcPr>
            <w:tcW w:w="2880" w:type="dxa"/>
            <w:vAlign w:val="center"/>
          </w:tcPr>
          <w:p w:rsidR="003C027C" w:rsidRPr="00BA13B7" w:rsidRDefault="00ED5D93" w:rsidP="00ED5D93">
            <w:r w:rsidRPr="00BA13B7">
              <w:t>CalWorks</w:t>
            </w:r>
          </w:p>
        </w:tc>
        <w:tc>
          <w:tcPr>
            <w:tcW w:w="2160" w:type="dxa"/>
            <w:vAlign w:val="center"/>
          </w:tcPr>
          <w:p w:rsidR="003C027C" w:rsidRPr="00BA13B7" w:rsidRDefault="000923A0" w:rsidP="00ED5D93">
            <w:pPr>
              <w:jc w:val="right"/>
            </w:pPr>
            <w:r w:rsidRPr="00BA13B7">
              <w:t>$</w:t>
            </w:r>
            <w:r w:rsidR="00480175" w:rsidRPr="00BA13B7">
              <w:t>75,000</w:t>
            </w:r>
          </w:p>
        </w:tc>
        <w:tc>
          <w:tcPr>
            <w:tcW w:w="2160" w:type="dxa"/>
            <w:vAlign w:val="center"/>
          </w:tcPr>
          <w:p w:rsidR="003C027C" w:rsidRPr="00BA13B7" w:rsidRDefault="000923A0" w:rsidP="00ED5D93">
            <w:pPr>
              <w:jc w:val="right"/>
            </w:pPr>
            <w:r w:rsidRPr="00BA13B7">
              <w:t>$</w:t>
            </w:r>
            <w:r w:rsidR="00480175" w:rsidRPr="00BA13B7">
              <w:t>75,000</w:t>
            </w:r>
          </w:p>
        </w:tc>
        <w:tc>
          <w:tcPr>
            <w:tcW w:w="2160" w:type="dxa"/>
            <w:vAlign w:val="center"/>
          </w:tcPr>
          <w:p w:rsidR="003C027C" w:rsidRPr="00BA13B7" w:rsidRDefault="00480175" w:rsidP="000923A0">
            <w:pPr>
              <w:jc w:val="right"/>
            </w:pPr>
            <w:r w:rsidRPr="00BA13B7">
              <w:t>$75,000</w:t>
            </w:r>
          </w:p>
        </w:tc>
      </w:tr>
      <w:tr w:rsidR="00ED5D93" w:rsidRPr="00BA13B7" w:rsidTr="00ED5D93">
        <w:trPr>
          <w:trHeight w:val="432"/>
        </w:trPr>
        <w:tc>
          <w:tcPr>
            <w:tcW w:w="2880" w:type="dxa"/>
            <w:vAlign w:val="center"/>
          </w:tcPr>
          <w:p w:rsidR="00ED5D93" w:rsidRPr="00BA13B7" w:rsidRDefault="00ED5D93" w:rsidP="00ED5D93">
            <w:r w:rsidRPr="00BA13B7">
              <w:t>CCD Apportionment</w:t>
            </w: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r>
      <w:tr w:rsidR="00ED5D93" w:rsidRPr="00BA13B7" w:rsidTr="00ED5D93">
        <w:trPr>
          <w:trHeight w:val="432"/>
        </w:trPr>
        <w:tc>
          <w:tcPr>
            <w:tcW w:w="2880" w:type="dxa"/>
            <w:vAlign w:val="center"/>
          </w:tcPr>
          <w:p w:rsidR="00ED5D93" w:rsidRPr="00BA13B7" w:rsidRDefault="00ED5D93" w:rsidP="00ED5D93">
            <w:r w:rsidRPr="00BA13B7">
              <w:t>WIOA Title II</w:t>
            </w:r>
          </w:p>
        </w:tc>
        <w:tc>
          <w:tcPr>
            <w:tcW w:w="2160" w:type="dxa"/>
            <w:vAlign w:val="center"/>
          </w:tcPr>
          <w:p w:rsidR="00ED5D93" w:rsidRPr="00BA13B7" w:rsidRDefault="00480175" w:rsidP="00ED5D93">
            <w:pPr>
              <w:jc w:val="right"/>
            </w:pPr>
            <w:r w:rsidRPr="00BA13B7">
              <w:t>$608,250</w:t>
            </w:r>
          </w:p>
        </w:tc>
        <w:tc>
          <w:tcPr>
            <w:tcW w:w="2160" w:type="dxa"/>
            <w:vAlign w:val="center"/>
          </w:tcPr>
          <w:p w:rsidR="00ED5D93" w:rsidRPr="00BA13B7" w:rsidRDefault="00480175" w:rsidP="00ED5D93">
            <w:pPr>
              <w:jc w:val="right"/>
            </w:pPr>
            <w:r w:rsidRPr="00BA13B7">
              <w:t>$608,250</w:t>
            </w:r>
          </w:p>
        </w:tc>
        <w:tc>
          <w:tcPr>
            <w:tcW w:w="2160" w:type="dxa"/>
            <w:vAlign w:val="center"/>
          </w:tcPr>
          <w:p w:rsidR="00ED5D93" w:rsidRPr="00BA13B7" w:rsidRDefault="00480175" w:rsidP="00ED5D93">
            <w:pPr>
              <w:jc w:val="right"/>
            </w:pPr>
            <w:r w:rsidRPr="00BA13B7">
              <w:t>$608,250</w:t>
            </w:r>
          </w:p>
        </w:tc>
      </w:tr>
      <w:tr w:rsidR="00ED5D93" w:rsidRPr="00BA13B7" w:rsidTr="00ED5D93">
        <w:trPr>
          <w:trHeight w:val="432"/>
        </w:trPr>
        <w:tc>
          <w:tcPr>
            <w:tcW w:w="2880" w:type="dxa"/>
            <w:vAlign w:val="center"/>
          </w:tcPr>
          <w:p w:rsidR="00ED5D93" w:rsidRPr="00BA13B7" w:rsidRDefault="00ED5D93" w:rsidP="00ED5D93">
            <w:r w:rsidRPr="00BA13B7">
              <w:t>LCFF / District Funds</w:t>
            </w:r>
          </w:p>
        </w:tc>
        <w:tc>
          <w:tcPr>
            <w:tcW w:w="2160" w:type="dxa"/>
            <w:vAlign w:val="center"/>
          </w:tcPr>
          <w:p w:rsidR="00ED5D93" w:rsidRPr="00BA13B7" w:rsidRDefault="00480175" w:rsidP="00ED5D93">
            <w:pPr>
              <w:jc w:val="right"/>
            </w:pPr>
            <w:r w:rsidRPr="00BA13B7">
              <w:t>$250,000</w:t>
            </w:r>
          </w:p>
        </w:tc>
        <w:tc>
          <w:tcPr>
            <w:tcW w:w="2160" w:type="dxa"/>
            <w:vAlign w:val="center"/>
          </w:tcPr>
          <w:p w:rsidR="00ED5D93" w:rsidRPr="00BA13B7" w:rsidRDefault="00480175" w:rsidP="00ED5D93">
            <w:pPr>
              <w:jc w:val="right"/>
            </w:pPr>
            <w:r w:rsidRPr="00BA13B7">
              <w:t>$250,000</w:t>
            </w:r>
          </w:p>
        </w:tc>
        <w:tc>
          <w:tcPr>
            <w:tcW w:w="2160" w:type="dxa"/>
            <w:vAlign w:val="center"/>
          </w:tcPr>
          <w:p w:rsidR="00ED5D93" w:rsidRPr="00BA13B7" w:rsidRDefault="00480175" w:rsidP="00ED5D93">
            <w:pPr>
              <w:jc w:val="right"/>
            </w:pPr>
            <w:r w:rsidRPr="00BA13B7">
              <w:t>$250,000</w:t>
            </w:r>
          </w:p>
        </w:tc>
      </w:tr>
      <w:tr w:rsidR="00ED5D93" w:rsidRPr="00BA13B7" w:rsidTr="00ED5D93">
        <w:trPr>
          <w:trHeight w:val="432"/>
        </w:trPr>
        <w:tc>
          <w:tcPr>
            <w:tcW w:w="2880" w:type="dxa"/>
            <w:vAlign w:val="center"/>
          </w:tcPr>
          <w:p w:rsidR="00ED5D93" w:rsidRPr="00BA13B7" w:rsidRDefault="00ED5D93" w:rsidP="00ED5D93">
            <w:r w:rsidRPr="00BA13B7">
              <w:t>Title I / ITA Funds</w:t>
            </w:r>
          </w:p>
        </w:tc>
        <w:tc>
          <w:tcPr>
            <w:tcW w:w="2160" w:type="dxa"/>
            <w:vAlign w:val="center"/>
          </w:tcPr>
          <w:p w:rsidR="00ED5D93" w:rsidRPr="00BA13B7" w:rsidRDefault="00480175" w:rsidP="000923A0">
            <w:pPr>
              <w:jc w:val="right"/>
            </w:pPr>
            <w:r w:rsidRPr="00BA13B7">
              <w:t>$</w:t>
            </w:r>
            <w:r w:rsidR="000923A0" w:rsidRPr="00BA13B7">
              <w:t>5</w:t>
            </w:r>
            <w:r w:rsidRPr="00BA13B7">
              <w:t>50,000</w:t>
            </w:r>
          </w:p>
        </w:tc>
        <w:tc>
          <w:tcPr>
            <w:tcW w:w="2160" w:type="dxa"/>
            <w:vAlign w:val="center"/>
          </w:tcPr>
          <w:p w:rsidR="00ED5D93" w:rsidRPr="00BA13B7" w:rsidRDefault="00480175" w:rsidP="00ED5D93">
            <w:pPr>
              <w:jc w:val="right"/>
            </w:pPr>
            <w:r w:rsidRPr="00BA13B7">
              <w:t>$</w:t>
            </w:r>
            <w:r w:rsidR="000923A0" w:rsidRPr="00BA13B7">
              <w:t>5</w:t>
            </w:r>
            <w:r w:rsidRPr="00BA13B7">
              <w:t>50,000</w:t>
            </w:r>
          </w:p>
        </w:tc>
        <w:tc>
          <w:tcPr>
            <w:tcW w:w="2160" w:type="dxa"/>
            <w:vAlign w:val="center"/>
          </w:tcPr>
          <w:p w:rsidR="00ED5D93" w:rsidRPr="00BA13B7" w:rsidRDefault="000923A0" w:rsidP="00ED5D93">
            <w:pPr>
              <w:jc w:val="right"/>
            </w:pPr>
            <w:r w:rsidRPr="00BA13B7">
              <w:t>$5</w:t>
            </w:r>
            <w:r w:rsidR="00480175" w:rsidRPr="00BA13B7">
              <w:t>50,000</w:t>
            </w:r>
          </w:p>
        </w:tc>
      </w:tr>
      <w:tr w:rsidR="00ED5D93" w:rsidRPr="00BA13B7" w:rsidTr="00ED5D93">
        <w:trPr>
          <w:trHeight w:val="432"/>
        </w:trPr>
        <w:tc>
          <w:tcPr>
            <w:tcW w:w="2880" w:type="dxa"/>
            <w:vAlign w:val="center"/>
          </w:tcPr>
          <w:p w:rsidR="00ED5D93" w:rsidRPr="00BA13B7" w:rsidRDefault="00ED5D93" w:rsidP="00ED5D93">
            <w:r w:rsidRPr="00BA13B7">
              <w:t>Perkins</w:t>
            </w: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r>
      <w:tr w:rsidR="00ED5D93" w:rsidRPr="00BA13B7" w:rsidTr="00ED5D93">
        <w:trPr>
          <w:trHeight w:val="432"/>
        </w:trPr>
        <w:tc>
          <w:tcPr>
            <w:tcW w:w="2880" w:type="dxa"/>
            <w:vAlign w:val="center"/>
          </w:tcPr>
          <w:p w:rsidR="00ED5D93" w:rsidRPr="00BA13B7" w:rsidRDefault="00ED5D93" w:rsidP="00ED5D93">
            <w:r w:rsidRPr="00BA13B7">
              <w:t>Corrections</w:t>
            </w: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r>
      <w:tr w:rsidR="00ED5D93" w:rsidRPr="00BA13B7" w:rsidTr="00ED5D93">
        <w:trPr>
          <w:trHeight w:val="432"/>
        </w:trPr>
        <w:tc>
          <w:tcPr>
            <w:tcW w:w="2880" w:type="dxa"/>
            <w:tcBorders>
              <w:bottom w:val="single" w:sz="4" w:space="0" w:color="A6A6A6" w:themeColor="background1" w:themeShade="A6"/>
            </w:tcBorders>
            <w:vAlign w:val="center"/>
          </w:tcPr>
          <w:p w:rsidR="00ED5D93" w:rsidRPr="00BA13B7" w:rsidRDefault="00ED5D93" w:rsidP="00ED5D93"/>
        </w:tc>
        <w:tc>
          <w:tcPr>
            <w:tcW w:w="2160" w:type="dxa"/>
            <w:tcBorders>
              <w:bottom w:val="single" w:sz="4" w:space="0" w:color="A6A6A6" w:themeColor="background1" w:themeShade="A6"/>
            </w:tcBorders>
            <w:vAlign w:val="center"/>
          </w:tcPr>
          <w:p w:rsidR="00ED5D93" w:rsidRPr="00BA13B7" w:rsidRDefault="00ED5D93" w:rsidP="00ED5D93">
            <w:pPr>
              <w:jc w:val="right"/>
            </w:pPr>
          </w:p>
        </w:tc>
        <w:tc>
          <w:tcPr>
            <w:tcW w:w="2160" w:type="dxa"/>
            <w:tcBorders>
              <w:bottom w:val="single" w:sz="4" w:space="0" w:color="A6A6A6" w:themeColor="background1" w:themeShade="A6"/>
            </w:tcBorders>
            <w:vAlign w:val="center"/>
          </w:tcPr>
          <w:p w:rsidR="00ED5D93" w:rsidRPr="00BA13B7" w:rsidRDefault="00ED5D93" w:rsidP="00ED5D93">
            <w:pPr>
              <w:jc w:val="right"/>
            </w:pPr>
          </w:p>
        </w:tc>
        <w:tc>
          <w:tcPr>
            <w:tcW w:w="2160" w:type="dxa"/>
            <w:tcBorders>
              <w:bottom w:val="single" w:sz="4" w:space="0" w:color="A6A6A6" w:themeColor="background1" w:themeShade="A6"/>
            </w:tcBorders>
            <w:vAlign w:val="center"/>
          </w:tcPr>
          <w:p w:rsidR="00ED5D93" w:rsidRPr="00BA13B7" w:rsidRDefault="00ED5D93" w:rsidP="00ED5D93">
            <w:pPr>
              <w:jc w:val="right"/>
            </w:pPr>
          </w:p>
        </w:tc>
      </w:tr>
      <w:tr w:rsidR="00ED5D93" w:rsidRPr="00BA13B7" w:rsidTr="00ED5D93">
        <w:trPr>
          <w:trHeight w:val="432"/>
        </w:trPr>
        <w:tc>
          <w:tcPr>
            <w:tcW w:w="9360" w:type="dxa"/>
            <w:gridSpan w:val="4"/>
            <w:shd w:val="clear" w:color="auto" w:fill="BFBFBF" w:themeFill="background1" w:themeFillShade="BF"/>
            <w:vAlign w:val="center"/>
          </w:tcPr>
          <w:p w:rsidR="00ED5D93" w:rsidRPr="00BA13B7" w:rsidRDefault="00ED5D93" w:rsidP="00ED5D93">
            <w:r w:rsidRPr="00BA13B7">
              <w:t>Other</w:t>
            </w:r>
          </w:p>
        </w:tc>
      </w:tr>
      <w:tr w:rsidR="00ED5D93" w:rsidRPr="00BA13B7" w:rsidTr="00ED5D93">
        <w:trPr>
          <w:trHeight w:val="432"/>
        </w:trPr>
        <w:tc>
          <w:tcPr>
            <w:tcW w:w="2880" w:type="dxa"/>
            <w:vAlign w:val="center"/>
          </w:tcPr>
          <w:p w:rsidR="00ED5D93" w:rsidRPr="00BA13B7" w:rsidRDefault="00DD602A" w:rsidP="00ED5D93">
            <w:r w:rsidRPr="00BA13B7">
              <w:t xml:space="preserve">CTE </w:t>
            </w:r>
            <w:r w:rsidR="00ED5D93" w:rsidRPr="00BA13B7">
              <w:t>Fees</w:t>
            </w:r>
          </w:p>
        </w:tc>
        <w:tc>
          <w:tcPr>
            <w:tcW w:w="2160" w:type="dxa"/>
            <w:vAlign w:val="center"/>
          </w:tcPr>
          <w:p w:rsidR="00ED5D93" w:rsidRPr="00BA13B7" w:rsidRDefault="00480175" w:rsidP="00ED5D93">
            <w:pPr>
              <w:jc w:val="right"/>
            </w:pPr>
            <w:r w:rsidRPr="00BA13B7">
              <w:t>$75,000</w:t>
            </w:r>
          </w:p>
        </w:tc>
        <w:tc>
          <w:tcPr>
            <w:tcW w:w="2160" w:type="dxa"/>
            <w:vAlign w:val="center"/>
          </w:tcPr>
          <w:p w:rsidR="00ED5D93" w:rsidRPr="00BA13B7" w:rsidRDefault="00480175" w:rsidP="00ED5D93">
            <w:pPr>
              <w:jc w:val="right"/>
            </w:pPr>
            <w:r w:rsidRPr="00BA13B7">
              <w:t>$75,000</w:t>
            </w:r>
          </w:p>
        </w:tc>
        <w:tc>
          <w:tcPr>
            <w:tcW w:w="2160" w:type="dxa"/>
            <w:vAlign w:val="center"/>
          </w:tcPr>
          <w:p w:rsidR="00ED5D93" w:rsidRPr="00BA13B7" w:rsidRDefault="00480175" w:rsidP="00ED5D93">
            <w:pPr>
              <w:jc w:val="right"/>
            </w:pPr>
            <w:r w:rsidRPr="00BA13B7">
              <w:t>$75,000</w:t>
            </w:r>
          </w:p>
        </w:tc>
      </w:tr>
      <w:tr w:rsidR="00ED5D93" w:rsidRPr="00BA13B7" w:rsidTr="00ED5D93">
        <w:trPr>
          <w:trHeight w:val="432"/>
        </w:trPr>
        <w:tc>
          <w:tcPr>
            <w:tcW w:w="2880" w:type="dxa"/>
            <w:vAlign w:val="center"/>
          </w:tcPr>
          <w:p w:rsidR="00ED5D93" w:rsidRPr="00BA13B7" w:rsidRDefault="00ED5D93" w:rsidP="00ED5D93"/>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r>
      <w:tr w:rsidR="00ED5D93" w:rsidRPr="00BA13B7" w:rsidTr="00ED5D93">
        <w:trPr>
          <w:trHeight w:val="432"/>
        </w:trPr>
        <w:tc>
          <w:tcPr>
            <w:tcW w:w="2880" w:type="dxa"/>
            <w:vAlign w:val="center"/>
          </w:tcPr>
          <w:p w:rsidR="00ED5D93" w:rsidRPr="00BA13B7" w:rsidRDefault="00ED5D93" w:rsidP="00ED5D93"/>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r>
      <w:tr w:rsidR="00ED5D93" w:rsidRPr="00BA13B7" w:rsidTr="00ED5D93">
        <w:trPr>
          <w:trHeight w:val="432"/>
        </w:trPr>
        <w:tc>
          <w:tcPr>
            <w:tcW w:w="2880" w:type="dxa"/>
            <w:vAlign w:val="center"/>
          </w:tcPr>
          <w:p w:rsidR="00ED5D93" w:rsidRPr="00BA13B7" w:rsidRDefault="00ED5D93" w:rsidP="00ED5D93"/>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r>
      <w:tr w:rsidR="00ED5D93" w:rsidRPr="00BA13B7" w:rsidTr="00ED5D93">
        <w:trPr>
          <w:trHeight w:val="432"/>
        </w:trPr>
        <w:tc>
          <w:tcPr>
            <w:tcW w:w="2880" w:type="dxa"/>
            <w:vAlign w:val="center"/>
          </w:tcPr>
          <w:p w:rsidR="00ED5D93" w:rsidRPr="00BA13B7" w:rsidRDefault="00ED5D93" w:rsidP="00ED5D93"/>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r>
      <w:tr w:rsidR="00ED5D93" w:rsidRPr="00BA13B7" w:rsidTr="00ED5D93">
        <w:trPr>
          <w:trHeight w:val="432"/>
        </w:trPr>
        <w:tc>
          <w:tcPr>
            <w:tcW w:w="2880" w:type="dxa"/>
            <w:vAlign w:val="center"/>
          </w:tcPr>
          <w:p w:rsidR="00ED5D93" w:rsidRPr="00BA13B7" w:rsidRDefault="00ED5D93" w:rsidP="00ED5D93"/>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r>
      <w:tr w:rsidR="00ED5D93" w:rsidRPr="00BA13B7" w:rsidTr="00ED5D93">
        <w:trPr>
          <w:trHeight w:val="432"/>
        </w:trPr>
        <w:tc>
          <w:tcPr>
            <w:tcW w:w="2880" w:type="dxa"/>
            <w:vAlign w:val="center"/>
          </w:tcPr>
          <w:p w:rsidR="00ED5D93" w:rsidRPr="00BA13B7" w:rsidRDefault="00ED5D93" w:rsidP="00ED5D93"/>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r>
      <w:tr w:rsidR="00ED5D93" w:rsidRPr="00BA13B7" w:rsidTr="00ED5D93">
        <w:trPr>
          <w:trHeight w:val="432"/>
        </w:trPr>
        <w:tc>
          <w:tcPr>
            <w:tcW w:w="2880" w:type="dxa"/>
            <w:vAlign w:val="center"/>
          </w:tcPr>
          <w:p w:rsidR="00ED5D93" w:rsidRPr="00BA13B7" w:rsidRDefault="00ED5D93" w:rsidP="00ED5D93"/>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c>
          <w:tcPr>
            <w:tcW w:w="2160" w:type="dxa"/>
            <w:vAlign w:val="center"/>
          </w:tcPr>
          <w:p w:rsidR="00ED5D93" w:rsidRPr="00BA13B7" w:rsidRDefault="00ED5D93" w:rsidP="00ED5D93">
            <w:pPr>
              <w:jc w:val="right"/>
            </w:pPr>
          </w:p>
        </w:tc>
      </w:tr>
    </w:tbl>
    <w:p w:rsidR="003C027C" w:rsidRPr="00BA13B7" w:rsidRDefault="003C027C" w:rsidP="003C027C"/>
    <w:p w:rsidR="004330E2" w:rsidRPr="00BA13B7" w:rsidRDefault="004330E2">
      <w:r w:rsidRPr="00BA13B7">
        <w:br w:type="page"/>
      </w:r>
    </w:p>
    <w:p w:rsidR="004330E2" w:rsidRPr="00BA13B7" w:rsidRDefault="004330E2" w:rsidP="004330E2">
      <w:pPr>
        <w:pStyle w:val="Heading2"/>
        <w:rPr>
          <w:rFonts w:asciiTheme="minorHAnsi" w:hAnsiTheme="minorHAnsi"/>
          <w:color w:val="auto"/>
          <w:sz w:val="4"/>
          <w:szCs w:val="4"/>
        </w:rPr>
      </w:pPr>
      <w:bookmarkStart w:id="12" w:name="_Toc10804133"/>
      <w:r w:rsidRPr="00BA13B7">
        <w:rPr>
          <w:rFonts w:asciiTheme="minorHAnsi" w:hAnsiTheme="minorHAnsi"/>
          <w:b/>
          <w:color w:val="auto"/>
          <w:sz w:val="28"/>
        </w:rPr>
        <w:lastRenderedPageBreak/>
        <w:t>Section 2.3 Community Needs and Customers</w:t>
      </w:r>
      <w:bookmarkEnd w:id="12"/>
      <w:r w:rsidRPr="00BA13B7">
        <w:rPr>
          <w:rFonts w:asciiTheme="minorHAnsi" w:hAnsiTheme="minorHAnsi"/>
          <w:b/>
          <w:color w:val="auto"/>
          <w:sz w:val="28"/>
        </w:rPr>
        <w:tab/>
      </w:r>
    </w:p>
    <w:p w:rsidR="004330E2" w:rsidRPr="00BA13B7" w:rsidRDefault="004330E2" w:rsidP="00426E09">
      <w:pPr>
        <w:spacing w:before="120" w:after="0"/>
      </w:pPr>
      <w:r w:rsidRPr="00BA13B7">
        <w:rPr>
          <w:b/>
          <w:noProof/>
          <w:sz w:val="28"/>
        </w:rPr>
        <mc:AlternateContent>
          <mc:Choice Requires="wps">
            <w:drawing>
              <wp:anchor distT="0" distB="0" distL="114300" distR="114300" simplePos="0" relativeHeight="251663360" behindDoc="0" locked="0" layoutInCell="1" allowOverlap="1" wp14:anchorId="36EA8E94" wp14:editId="5F6C9E47">
                <wp:simplePos x="0" y="0"/>
                <wp:positionH relativeFrom="column">
                  <wp:posOffset>-9525</wp:posOffset>
                </wp:positionH>
                <wp:positionV relativeFrom="paragraph">
                  <wp:posOffset>23494</wp:posOffset>
                </wp:positionV>
                <wp:extent cx="60007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DACF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5pt" to="47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" strokecolor="black [3200]" strokeweight=".5pt">
                <v:stroke joinstyle="miter"/>
              </v:line>
            </w:pict>
          </mc:Fallback>
        </mc:AlternateContent>
      </w:r>
    </w:p>
    <w:p w:rsidR="004330E2" w:rsidRPr="00BA13B7" w:rsidRDefault="00317C07" w:rsidP="00AA4F8F">
      <w:pPr>
        <w:pStyle w:val="Heading3"/>
        <w:rPr>
          <w:rFonts w:asciiTheme="minorHAnsi" w:hAnsiTheme="minorHAnsi" w:cs="Times New Roman"/>
        </w:rPr>
      </w:pPr>
      <w:bookmarkStart w:id="13" w:name="_Toc2599817"/>
      <w:bookmarkStart w:id="14" w:name="_Toc10804134"/>
      <w:r>
        <w:rPr>
          <w:rFonts w:asciiTheme="minorHAnsi" w:hAnsiTheme="minorHAnsi" w:cs="Times New Roman"/>
        </w:rPr>
        <w:t xml:space="preserve">CCAEC Current </w:t>
      </w:r>
      <w:r w:rsidR="004330E2" w:rsidRPr="00BA13B7">
        <w:rPr>
          <w:rFonts w:asciiTheme="minorHAnsi" w:hAnsiTheme="minorHAnsi" w:cs="Times New Roman"/>
        </w:rPr>
        <w:t>Student Population</w:t>
      </w:r>
      <w:bookmarkEnd w:id="14"/>
      <w:r w:rsidR="004330E2" w:rsidRPr="00BA13B7">
        <w:rPr>
          <w:rFonts w:asciiTheme="minorHAnsi" w:hAnsiTheme="minorHAnsi" w:cs="Times New Roman"/>
        </w:rPr>
        <w:t xml:space="preserve"> </w:t>
      </w:r>
      <w:bookmarkEnd w:id="13"/>
    </w:p>
    <w:p w:rsidR="00317C07" w:rsidRPr="00317C07" w:rsidRDefault="00317C07" w:rsidP="00317C07">
      <w:pPr>
        <w:pStyle w:val="BodyText"/>
        <w:spacing w:line="268" w:lineRule="exact"/>
        <w:rPr>
          <w:rFonts w:asciiTheme="minorHAnsi" w:hAnsiTheme="minorHAnsi"/>
          <w:sz w:val="22"/>
          <w:szCs w:val="24"/>
        </w:rPr>
      </w:pPr>
      <w:r w:rsidRPr="00317C07">
        <w:rPr>
          <w:rFonts w:asciiTheme="minorHAnsi" w:hAnsiTheme="minorHAnsi"/>
          <w:sz w:val="22"/>
          <w:szCs w:val="24"/>
        </w:rPr>
        <w:t xml:space="preserve">The Citrus College Adult Education Consortium serves a footprint that encompasses multiple San Gabriel Valley communities and member institutions enroll students from cities all across and beyond the San Gabriel Valley. </w:t>
      </w:r>
    </w:p>
    <w:p w:rsidR="004330E2" w:rsidRPr="00317C07" w:rsidRDefault="004330E2" w:rsidP="004330E2">
      <w:pPr>
        <w:pStyle w:val="BodyText"/>
        <w:spacing w:line="268" w:lineRule="exact"/>
        <w:rPr>
          <w:rFonts w:asciiTheme="minorHAnsi" w:hAnsiTheme="minorHAnsi"/>
          <w:sz w:val="22"/>
          <w:szCs w:val="24"/>
        </w:rPr>
      </w:pPr>
      <w:r w:rsidRPr="00317C07">
        <w:rPr>
          <w:rFonts w:asciiTheme="minorHAnsi" w:hAnsiTheme="minorHAnsi"/>
          <w:sz w:val="22"/>
          <w:szCs w:val="24"/>
        </w:rPr>
        <w:t xml:space="preserve">The below tables depict the student population served at each member institution by city. For Azusa, Claremont, and Monrovia, these totals were aggregated from </w:t>
      </w:r>
      <w:r w:rsidR="00AB5FF1" w:rsidRPr="00317C07">
        <w:rPr>
          <w:rFonts w:asciiTheme="minorHAnsi" w:hAnsiTheme="minorHAnsi"/>
          <w:sz w:val="22"/>
          <w:szCs w:val="24"/>
        </w:rPr>
        <w:t>site data management systems (</w:t>
      </w:r>
      <w:r w:rsidRPr="00317C07">
        <w:rPr>
          <w:rFonts w:asciiTheme="minorHAnsi" w:hAnsiTheme="minorHAnsi"/>
          <w:sz w:val="22"/>
          <w:szCs w:val="24"/>
        </w:rPr>
        <w:t>ASAP</w:t>
      </w:r>
      <w:r w:rsidR="00AB5FF1" w:rsidRPr="00317C07">
        <w:rPr>
          <w:rFonts w:asciiTheme="minorHAnsi" w:hAnsiTheme="minorHAnsi"/>
          <w:sz w:val="22"/>
          <w:szCs w:val="24"/>
        </w:rPr>
        <w:t>)</w:t>
      </w:r>
      <w:r w:rsidRPr="00317C07">
        <w:rPr>
          <w:rFonts w:asciiTheme="minorHAnsi" w:hAnsiTheme="minorHAnsi"/>
          <w:sz w:val="22"/>
          <w:szCs w:val="24"/>
        </w:rPr>
        <w:t xml:space="preserve">, </w:t>
      </w:r>
      <w:r w:rsidR="00AB5FF1" w:rsidRPr="00317C07">
        <w:rPr>
          <w:rFonts w:asciiTheme="minorHAnsi" w:hAnsiTheme="minorHAnsi"/>
          <w:sz w:val="22"/>
          <w:szCs w:val="24"/>
        </w:rPr>
        <w:t xml:space="preserve">and </w:t>
      </w:r>
      <w:r w:rsidRPr="00317C07">
        <w:rPr>
          <w:rFonts w:asciiTheme="minorHAnsi" w:hAnsiTheme="minorHAnsi"/>
          <w:sz w:val="22"/>
          <w:szCs w:val="24"/>
        </w:rPr>
        <w:t xml:space="preserve">not </w:t>
      </w:r>
      <w:r w:rsidR="00AB5FF1" w:rsidRPr="00317C07">
        <w:rPr>
          <w:rFonts w:asciiTheme="minorHAnsi" w:hAnsiTheme="minorHAnsi"/>
          <w:sz w:val="22"/>
          <w:szCs w:val="24"/>
        </w:rPr>
        <w:t>from the state reporting system (</w:t>
      </w:r>
      <w:r w:rsidRPr="00317C07">
        <w:rPr>
          <w:rFonts w:asciiTheme="minorHAnsi" w:hAnsiTheme="minorHAnsi"/>
          <w:sz w:val="22"/>
          <w:szCs w:val="24"/>
        </w:rPr>
        <w:t>TOPSpro Enterprise</w:t>
      </w:r>
      <w:r w:rsidR="00AB5FF1" w:rsidRPr="00317C07">
        <w:rPr>
          <w:rFonts w:asciiTheme="minorHAnsi" w:hAnsiTheme="minorHAnsi"/>
          <w:sz w:val="22"/>
          <w:szCs w:val="24"/>
        </w:rPr>
        <w:t>)</w:t>
      </w:r>
      <w:r w:rsidRPr="00317C07">
        <w:rPr>
          <w:rFonts w:asciiTheme="minorHAnsi" w:hAnsiTheme="minorHAnsi"/>
          <w:sz w:val="22"/>
          <w:szCs w:val="24"/>
        </w:rPr>
        <w:t xml:space="preserve">. </w:t>
      </w:r>
      <w:r w:rsidR="00AB5FF1" w:rsidRPr="00317C07">
        <w:rPr>
          <w:rFonts w:asciiTheme="minorHAnsi" w:hAnsiTheme="minorHAnsi"/>
          <w:sz w:val="22"/>
          <w:szCs w:val="24"/>
        </w:rPr>
        <w:t xml:space="preserve">For this </w:t>
      </w:r>
      <w:r w:rsidR="00317C07">
        <w:rPr>
          <w:rFonts w:asciiTheme="minorHAnsi" w:hAnsiTheme="minorHAnsi"/>
          <w:sz w:val="22"/>
          <w:szCs w:val="24"/>
        </w:rPr>
        <w:t>plan</w:t>
      </w:r>
      <w:r w:rsidR="00AB5FF1" w:rsidRPr="00317C07">
        <w:rPr>
          <w:rFonts w:asciiTheme="minorHAnsi" w:hAnsiTheme="minorHAnsi"/>
          <w:sz w:val="22"/>
          <w:szCs w:val="24"/>
        </w:rPr>
        <w:t>, the consortium analyzed 2017-18 enrollment data.</w:t>
      </w:r>
    </w:p>
    <w:p w:rsidR="004330E2" w:rsidRPr="004E305C" w:rsidRDefault="004330E2" w:rsidP="004330E2">
      <w:pPr>
        <w:pStyle w:val="Heading3"/>
        <w:spacing w:after="120"/>
        <w:rPr>
          <w:rFonts w:asciiTheme="minorHAnsi" w:hAnsiTheme="minorHAnsi" w:cs="Times New Roman"/>
          <w:color w:val="0070C0"/>
        </w:rPr>
      </w:pPr>
      <w:bookmarkStart w:id="15" w:name="_Toc522746279"/>
      <w:bookmarkStart w:id="16" w:name="_Toc2599818"/>
      <w:bookmarkStart w:id="17" w:name="_Toc10804135"/>
      <w:r w:rsidRPr="004E305C">
        <w:rPr>
          <w:rFonts w:asciiTheme="minorHAnsi" w:hAnsiTheme="minorHAnsi" w:cs="Times New Roman"/>
          <w:color w:val="0070C0"/>
        </w:rPr>
        <w:t xml:space="preserve">Table </w:t>
      </w:r>
      <w:r w:rsidR="007501A3" w:rsidRPr="004E305C">
        <w:rPr>
          <w:rFonts w:asciiTheme="minorHAnsi" w:hAnsiTheme="minorHAnsi" w:cs="Times New Roman"/>
          <w:color w:val="0070C0"/>
        </w:rPr>
        <w:t>5</w:t>
      </w:r>
      <w:r w:rsidRPr="004E305C">
        <w:rPr>
          <w:rFonts w:asciiTheme="minorHAnsi" w:hAnsiTheme="minorHAnsi" w:cs="Times New Roman"/>
          <w:color w:val="0070C0"/>
        </w:rPr>
        <w:t xml:space="preserve"> – Azusa 2017-18 Student Enrollment by City</w:t>
      </w:r>
      <w:bookmarkEnd w:id="15"/>
      <w:r w:rsidRPr="004E305C">
        <w:rPr>
          <w:rFonts w:asciiTheme="minorHAnsi" w:hAnsiTheme="minorHAnsi" w:cs="Times New Roman"/>
          <w:color w:val="0070C0"/>
        </w:rPr>
        <w:t>: Total &amp; % of Total</w:t>
      </w:r>
      <w:bookmarkEnd w:id="16"/>
      <w:bookmarkEnd w:id="17"/>
    </w:p>
    <w:tbl>
      <w:tblPr>
        <w:tblStyle w:val="MediumShading2-Accent5"/>
        <w:tblW w:w="0" w:type="auto"/>
        <w:tblBorders>
          <w:left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28"/>
        <w:gridCol w:w="1440"/>
        <w:gridCol w:w="1440"/>
      </w:tblGrid>
      <w:tr w:rsidR="004330E2" w:rsidRPr="00BA13B7" w:rsidTr="0080717A">
        <w:trPr>
          <w:cnfStyle w:val="100000000000" w:firstRow="1" w:lastRow="0" w:firstColumn="0" w:lastColumn="0" w:oddVBand="0" w:evenVBand="0" w:oddHBand="0" w:evenHBand="0" w:firstRowFirstColumn="0" w:firstRowLastColumn="0" w:lastRowFirstColumn="0" w:lastRowLastColumn="0"/>
          <w:trHeight w:val="370"/>
        </w:trPr>
        <w:tc>
          <w:tcPr>
            <w:cnfStyle w:val="001000000100" w:firstRow="0" w:lastRow="0" w:firstColumn="1" w:lastColumn="0" w:oddVBand="0" w:evenVBand="0" w:oddHBand="0" w:evenHBand="0" w:firstRowFirstColumn="1" w:firstRowLastColumn="0" w:lastRowFirstColumn="0" w:lastRowLastColumn="0"/>
            <w:tcW w:w="1728" w:type="dxa"/>
            <w:tcBorders>
              <w:left w:val="single" w:sz="18" w:space="0" w:color="auto"/>
            </w:tcBorders>
            <w:vAlign w:val="center"/>
          </w:tcPr>
          <w:p w:rsidR="004330E2" w:rsidRPr="00BA13B7" w:rsidRDefault="004330E2" w:rsidP="0080717A">
            <w:pPr>
              <w:pStyle w:val="List2"/>
              <w:tabs>
                <w:tab w:val="left" w:pos="1080"/>
                <w:tab w:val="left" w:pos="9900"/>
              </w:tabs>
              <w:spacing w:before="0" w:after="60"/>
              <w:ind w:left="0" w:firstLine="0"/>
              <w:jc w:val="center"/>
              <w:rPr>
                <w:rFonts w:asciiTheme="minorHAnsi" w:hAnsiTheme="minorHAnsi"/>
                <w:b w:val="0"/>
              </w:rPr>
            </w:pPr>
            <w:r w:rsidRPr="00BA13B7">
              <w:rPr>
                <w:rFonts w:asciiTheme="minorHAnsi" w:hAnsiTheme="minorHAnsi"/>
                <w:b w:val="0"/>
              </w:rPr>
              <w:t>City</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Student Population</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 xml:space="preserve">% of Total </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Azusa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592</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42.7%</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Covina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234</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16.9%</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Glendora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192</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13.9%</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La Verne</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38</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2.7%</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San Dimas</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64</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4.6%</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West Covina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42</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3.0%</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bottom w:val="single" w:sz="12"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Misc. Other</w:t>
            </w:r>
          </w:p>
        </w:tc>
        <w:tc>
          <w:tcPr>
            <w:tcW w:w="1440" w:type="dxa"/>
            <w:tcBorders>
              <w:bottom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224</w:t>
            </w:r>
          </w:p>
        </w:tc>
        <w:tc>
          <w:tcPr>
            <w:tcW w:w="1440" w:type="dxa"/>
            <w:tcBorders>
              <w:bottom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16.2%</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top w:val="single" w:sz="12" w:space="0" w:color="auto"/>
              <w:left w:val="single" w:sz="18" w:space="0" w:color="auto"/>
            </w:tcBorders>
            <w:vAlign w:val="center"/>
          </w:tcPr>
          <w:p w:rsidR="004330E2" w:rsidRPr="00BA13B7" w:rsidRDefault="004330E2" w:rsidP="0080717A">
            <w:pPr>
              <w:jc w:val="center"/>
              <w:rPr>
                <w:rFonts w:asciiTheme="minorHAnsi" w:hAnsiTheme="minorHAnsi"/>
                <w:sz w:val="24"/>
              </w:rPr>
            </w:pPr>
            <w:r w:rsidRPr="00BA13B7">
              <w:rPr>
                <w:rFonts w:asciiTheme="minorHAnsi" w:hAnsiTheme="minorHAnsi"/>
                <w:sz w:val="24"/>
              </w:rPr>
              <w:t>TOTAL</w:t>
            </w:r>
          </w:p>
        </w:tc>
        <w:tc>
          <w:tcPr>
            <w:tcW w:w="1440" w:type="dxa"/>
            <w:tcBorders>
              <w:top w:val="single" w:sz="12"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sidRPr="00BA13B7">
              <w:rPr>
                <w:rFonts w:asciiTheme="minorHAnsi" w:hAnsiTheme="minorHAnsi"/>
                <w:b/>
                <w:sz w:val="24"/>
              </w:rPr>
              <w:t>1,386</w:t>
            </w:r>
          </w:p>
        </w:tc>
        <w:tc>
          <w:tcPr>
            <w:tcW w:w="1440" w:type="dxa"/>
            <w:tcBorders>
              <w:top w:val="single" w:sz="12"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sidRPr="00BA13B7">
              <w:rPr>
                <w:rFonts w:asciiTheme="minorHAnsi" w:hAnsiTheme="minorHAnsi"/>
                <w:b/>
                <w:sz w:val="24"/>
              </w:rPr>
              <w:t>100.0%</w:t>
            </w:r>
          </w:p>
        </w:tc>
      </w:tr>
    </w:tbl>
    <w:p w:rsidR="004330E2" w:rsidRPr="00BA13B7" w:rsidRDefault="004330E2" w:rsidP="004330E2">
      <w:pPr>
        <w:pStyle w:val="NoSpacing"/>
        <w:spacing w:after="60"/>
        <w:rPr>
          <w:rFonts w:asciiTheme="minorHAnsi" w:hAnsiTheme="minorHAnsi"/>
          <w:sz w:val="24"/>
          <w:szCs w:val="20"/>
        </w:rPr>
      </w:pPr>
    </w:p>
    <w:p w:rsidR="004330E2" w:rsidRPr="00BA13B7" w:rsidRDefault="004330E2" w:rsidP="004330E2">
      <w:pPr>
        <w:rPr>
          <w:rFonts w:eastAsiaTheme="majorEastAsia"/>
          <w:color w:val="1F4D78" w:themeColor="accent1" w:themeShade="7F"/>
          <w:sz w:val="24"/>
          <w:szCs w:val="24"/>
        </w:rPr>
      </w:pPr>
      <w:r w:rsidRPr="00BA13B7">
        <w:br w:type="page"/>
      </w:r>
    </w:p>
    <w:p w:rsidR="004330E2" w:rsidRPr="00BA13B7" w:rsidRDefault="004330E2" w:rsidP="004330E2">
      <w:pPr>
        <w:pStyle w:val="Heading3"/>
        <w:spacing w:after="120"/>
        <w:rPr>
          <w:rFonts w:asciiTheme="minorHAnsi" w:hAnsiTheme="minorHAnsi" w:cs="Times New Roman"/>
        </w:rPr>
      </w:pPr>
      <w:bookmarkStart w:id="18" w:name="_Toc2599819"/>
      <w:bookmarkStart w:id="19" w:name="_Toc10804136"/>
      <w:r w:rsidRPr="004E305C">
        <w:rPr>
          <w:rFonts w:asciiTheme="minorHAnsi" w:hAnsiTheme="minorHAnsi" w:cs="Times New Roman"/>
          <w:color w:val="0070C0"/>
        </w:rPr>
        <w:lastRenderedPageBreak/>
        <w:t xml:space="preserve">Table </w:t>
      </w:r>
      <w:r w:rsidR="007501A3" w:rsidRPr="004E305C">
        <w:rPr>
          <w:rFonts w:asciiTheme="minorHAnsi" w:hAnsiTheme="minorHAnsi" w:cs="Times New Roman"/>
          <w:color w:val="0070C0"/>
        </w:rPr>
        <w:t>6</w:t>
      </w:r>
      <w:r w:rsidRPr="004E305C">
        <w:rPr>
          <w:rFonts w:asciiTheme="minorHAnsi" w:hAnsiTheme="minorHAnsi" w:cs="Times New Roman"/>
          <w:color w:val="0070C0"/>
        </w:rPr>
        <w:t xml:space="preserve"> – Citrus College 2017-18 AEP Student Enrollment by City: Total &amp; % of Total</w:t>
      </w:r>
      <w:bookmarkEnd w:id="18"/>
      <w:bookmarkEnd w:id="19"/>
    </w:p>
    <w:tbl>
      <w:tblPr>
        <w:tblStyle w:val="MediumShading2-Accent5"/>
        <w:tblW w:w="0" w:type="auto"/>
        <w:tblBorders>
          <w:left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28"/>
        <w:gridCol w:w="1440"/>
        <w:gridCol w:w="1440"/>
      </w:tblGrid>
      <w:tr w:rsidR="004330E2" w:rsidRPr="00BA13B7" w:rsidTr="0080717A">
        <w:trPr>
          <w:cnfStyle w:val="100000000000" w:firstRow="1" w:lastRow="0" w:firstColumn="0" w:lastColumn="0" w:oddVBand="0" w:evenVBand="0" w:oddHBand="0" w:evenHBand="0" w:firstRowFirstColumn="0" w:firstRowLastColumn="0" w:lastRowFirstColumn="0" w:lastRowLastColumn="0"/>
          <w:trHeight w:val="370"/>
        </w:trPr>
        <w:tc>
          <w:tcPr>
            <w:cnfStyle w:val="001000000100" w:firstRow="0" w:lastRow="0" w:firstColumn="1" w:lastColumn="0" w:oddVBand="0" w:evenVBand="0" w:oddHBand="0" w:evenHBand="0" w:firstRowFirstColumn="1" w:firstRowLastColumn="0" w:lastRowFirstColumn="0" w:lastRowLastColumn="0"/>
            <w:tcW w:w="1728" w:type="dxa"/>
            <w:tcBorders>
              <w:left w:val="single" w:sz="18" w:space="0" w:color="auto"/>
            </w:tcBorders>
            <w:vAlign w:val="center"/>
          </w:tcPr>
          <w:p w:rsidR="004330E2" w:rsidRPr="00BA13B7" w:rsidRDefault="004330E2" w:rsidP="0080717A">
            <w:pPr>
              <w:pStyle w:val="List2"/>
              <w:tabs>
                <w:tab w:val="left" w:pos="1080"/>
                <w:tab w:val="left" w:pos="9900"/>
              </w:tabs>
              <w:spacing w:before="0" w:after="60"/>
              <w:ind w:left="0" w:firstLine="0"/>
              <w:jc w:val="center"/>
              <w:rPr>
                <w:rFonts w:asciiTheme="minorHAnsi" w:hAnsiTheme="minorHAnsi"/>
                <w:b w:val="0"/>
              </w:rPr>
            </w:pPr>
            <w:r w:rsidRPr="00BA13B7">
              <w:rPr>
                <w:rFonts w:asciiTheme="minorHAnsi" w:hAnsiTheme="minorHAnsi"/>
                <w:b w:val="0"/>
              </w:rPr>
              <w:t>City</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Student Population</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 xml:space="preserve">% of Total </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Azusa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198</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36.1%</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Glendora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104</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18.9%</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Covina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55</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10.0%</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West Covina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38</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6.9%</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San Dimas</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19</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3.5%</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Duarte</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20</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3.6%</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Monrovia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17</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3.1%</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La Verne</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14</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2.6%</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Baldwin Park</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16</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2.9%</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Pomona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9</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1.6%</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bottom w:val="single" w:sz="12"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szCs w:val="24"/>
              </w:rPr>
              <w:t>Misc. Other</w:t>
            </w:r>
          </w:p>
        </w:tc>
        <w:tc>
          <w:tcPr>
            <w:tcW w:w="1440" w:type="dxa"/>
            <w:tcBorders>
              <w:bottom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59</w:t>
            </w:r>
          </w:p>
        </w:tc>
        <w:tc>
          <w:tcPr>
            <w:tcW w:w="1440" w:type="dxa"/>
            <w:tcBorders>
              <w:bottom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10.7%</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top w:val="single" w:sz="12" w:space="0" w:color="auto"/>
              <w:left w:val="single" w:sz="18" w:space="0" w:color="auto"/>
            </w:tcBorders>
            <w:vAlign w:val="center"/>
          </w:tcPr>
          <w:p w:rsidR="004330E2" w:rsidRPr="00BA13B7" w:rsidRDefault="004330E2" w:rsidP="0080717A">
            <w:pPr>
              <w:jc w:val="center"/>
              <w:rPr>
                <w:rFonts w:asciiTheme="minorHAnsi" w:hAnsiTheme="minorHAnsi"/>
                <w:sz w:val="24"/>
              </w:rPr>
            </w:pPr>
            <w:r w:rsidRPr="00BA13B7">
              <w:rPr>
                <w:rFonts w:asciiTheme="minorHAnsi" w:hAnsiTheme="minorHAnsi"/>
                <w:sz w:val="24"/>
              </w:rPr>
              <w:t>TOTAL</w:t>
            </w:r>
          </w:p>
        </w:tc>
        <w:tc>
          <w:tcPr>
            <w:tcW w:w="1440" w:type="dxa"/>
            <w:tcBorders>
              <w:top w:val="single" w:sz="12"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sidRPr="00BA13B7">
              <w:rPr>
                <w:rFonts w:asciiTheme="minorHAnsi" w:hAnsiTheme="minorHAnsi"/>
                <w:b/>
                <w:sz w:val="24"/>
              </w:rPr>
              <w:t>549</w:t>
            </w:r>
          </w:p>
        </w:tc>
        <w:tc>
          <w:tcPr>
            <w:tcW w:w="1440" w:type="dxa"/>
            <w:tcBorders>
              <w:top w:val="single" w:sz="12"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sidRPr="00BA13B7">
              <w:rPr>
                <w:rFonts w:asciiTheme="minorHAnsi" w:hAnsiTheme="minorHAnsi"/>
                <w:b/>
                <w:sz w:val="24"/>
              </w:rPr>
              <w:t>100.0%</w:t>
            </w:r>
          </w:p>
        </w:tc>
      </w:tr>
    </w:tbl>
    <w:p w:rsidR="004330E2" w:rsidRPr="00BA13B7" w:rsidRDefault="004330E2" w:rsidP="004330E2">
      <w:pPr>
        <w:rPr>
          <w:rFonts w:eastAsiaTheme="majorEastAsia"/>
          <w:color w:val="1F4D78" w:themeColor="accent1" w:themeShade="7F"/>
          <w:sz w:val="24"/>
          <w:szCs w:val="24"/>
        </w:rPr>
      </w:pPr>
    </w:p>
    <w:p w:rsidR="004330E2" w:rsidRPr="004E305C" w:rsidRDefault="004330E2" w:rsidP="004330E2">
      <w:pPr>
        <w:pStyle w:val="Heading3"/>
        <w:spacing w:after="120"/>
        <w:rPr>
          <w:rFonts w:asciiTheme="minorHAnsi" w:hAnsiTheme="minorHAnsi" w:cs="Times New Roman"/>
          <w:color w:val="0070C0"/>
        </w:rPr>
      </w:pPr>
      <w:bookmarkStart w:id="20" w:name="_Toc2599820"/>
      <w:bookmarkStart w:id="21" w:name="_Toc10804137"/>
      <w:r w:rsidRPr="004E305C">
        <w:rPr>
          <w:rFonts w:asciiTheme="minorHAnsi" w:hAnsiTheme="minorHAnsi" w:cs="Times New Roman"/>
          <w:color w:val="0070C0"/>
        </w:rPr>
        <w:t xml:space="preserve">Table </w:t>
      </w:r>
      <w:r w:rsidR="007501A3" w:rsidRPr="004E305C">
        <w:rPr>
          <w:rFonts w:asciiTheme="minorHAnsi" w:hAnsiTheme="minorHAnsi" w:cs="Times New Roman"/>
          <w:color w:val="0070C0"/>
        </w:rPr>
        <w:t>7</w:t>
      </w:r>
      <w:r w:rsidRPr="004E305C">
        <w:rPr>
          <w:rFonts w:asciiTheme="minorHAnsi" w:hAnsiTheme="minorHAnsi" w:cs="Times New Roman"/>
          <w:color w:val="0070C0"/>
        </w:rPr>
        <w:t xml:space="preserve"> – Claremont 2017-18 Student Population by City: Total &amp; % of Total</w:t>
      </w:r>
      <w:bookmarkEnd w:id="20"/>
      <w:bookmarkEnd w:id="21"/>
    </w:p>
    <w:tbl>
      <w:tblPr>
        <w:tblStyle w:val="MediumShading2-Accent5"/>
        <w:tblpPr w:leftFromText="180" w:rightFromText="180" w:vertAnchor="text" w:tblpY="1"/>
        <w:tblOverlap w:val="never"/>
        <w:tblW w:w="0" w:type="auto"/>
        <w:tblBorders>
          <w:left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28"/>
        <w:gridCol w:w="1440"/>
        <w:gridCol w:w="1440"/>
      </w:tblGrid>
      <w:tr w:rsidR="004330E2" w:rsidRPr="00BA13B7" w:rsidTr="0080717A">
        <w:trPr>
          <w:cnfStyle w:val="100000000000" w:firstRow="1" w:lastRow="0" w:firstColumn="0" w:lastColumn="0" w:oddVBand="0" w:evenVBand="0" w:oddHBand="0" w:evenHBand="0" w:firstRowFirstColumn="0" w:firstRowLastColumn="0" w:lastRowFirstColumn="0" w:lastRowLastColumn="0"/>
          <w:trHeight w:val="370"/>
        </w:trPr>
        <w:tc>
          <w:tcPr>
            <w:cnfStyle w:val="001000000100" w:firstRow="0" w:lastRow="0" w:firstColumn="1" w:lastColumn="0" w:oddVBand="0" w:evenVBand="0" w:oddHBand="0" w:evenHBand="0" w:firstRowFirstColumn="1" w:firstRowLastColumn="0" w:lastRowFirstColumn="0" w:lastRowLastColumn="0"/>
            <w:tcW w:w="1728" w:type="dxa"/>
            <w:tcBorders>
              <w:left w:val="single" w:sz="18" w:space="0" w:color="auto"/>
            </w:tcBorders>
            <w:vAlign w:val="center"/>
          </w:tcPr>
          <w:p w:rsidR="004330E2" w:rsidRPr="00BA13B7" w:rsidRDefault="004330E2" w:rsidP="0080717A">
            <w:pPr>
              <w:pStyle w:val="List2"/>
              <w:tabs>
                <w:tab w:val="left" w:pos="1080"/>
                <w:tab w:val="left" w:pos="9900"/>
              </w:tabs>
              <w:spacing w:before="0" w:after="60"/>
              <w:ind w:left="0" w:firstLine="0"/>
              <w:jc w:val="center"/>
              <w:rPr>
                <w:rFonts w:asciiTheme="minorHAnsi" w:hAnsiTheme="minorHAnsi"/>
                <w:b w:val="0"/>
              </w:rPr>
            </w:pPr>
            <w:r w:rsidRPr="00BA13B7">
              <w:rPr>
                <w:rFonts w:asciiTheme="minorHAnsi" w:hAnsiTheme="minorHAnsi"/>
                <w:b w:val="0"/>
              </w:rPr>
              <w:t>City</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Student Population</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 xml:space="preserve">% of Total </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Claremont</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342</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32.9%</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La Verne</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52</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5.0%</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Montclair</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89</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8.6%</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Ontario</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41</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3.9%</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Pomona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246</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23.7%</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Rancho Cucamonga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41</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3.9%</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Upland</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95</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9.2%</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bottom w:val="single" w:sz="12" w:space="0" w:color="auto"/>
            </w:tcBorders>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Misc. Other</w:t>
            </w:r>
          </w:p>
        </w:tc>
        <w:tc>
          <w:tcPr>
            <w:tcW w:w="1440" w:type="dxa"/>
            <w:tcBorders>
              <w:bottom w:val="single" w:sz="12"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132</w:t>
            </w:r>
          </w:p>
        </w:tc>
        <w:tc>
          <w:tcPr>
            <w:tcW w:w="1440" w:type="dxa"/>
            <w:tcBorders>
              <w:bottom w:val="single" w:sz="12"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BA13B7">
              <w:rPr>
                <w:rFonts w:asciiTheme="minorHAnsi" w:hAnsiTheme="minorHAnsi"/>
                <w:color w:val="000000"/>
                <w:sz w:val="24"/>
                <w:szCs w:val="24"/>
              </w:rPr>
              <w:t>12.7%</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top w:val="single" w:sz="12" w:space="0" w:color="auto"/>
              <w:left w:val="single" w:sz="18" w:space="0" w:color="auto"/>
            </w:tcBorders>
            <w:vAlign w:val="center"/>
          </w:tcPr>
          <w:p w:rsidR="004330E2" w:rsidRPr="00BA13B7" w:rsidRDefault="004330E2" w:rsidP="0080717A">
            <w:pPr>
              <w:jc w:val="center"/>
              <w:rPr>
                <w:rFonts w:asciiTheme="minorHAnsi" w:hAnsiTheme="minorHAnsi"/>
                <w:sz w:val="24"/>
                <w:szCs w:val="24"/>
              </w:rPr>
            </w:pPr>
            <w:r w:rsidRPr="00BA13B7">
              <w:rPr>
                <w:rFonts w:asciiTheme="minorHAnsi" w:hAnsiTheme="minorHAnsi"/>
                <w:sz w:val="24"/>
                <w:szCs w:val="24"/>
              </w:rPr>
              <w:t>TOTAL</w:t>
            </w:r>
          </w:p>
        </w:tc>
        <w:tc>
          <w:tcPr>
            <w:tcW w:w="1440" w:type="dxa"/>
            <w:tcBorders>
              <w:top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4"/>
                <w:szCs w:val="24"/>
              </w:rPr>
            </w:pPr>
            <w:r w:rsidRPr="00BA13B7">
              <w:rPr>
                <w:rFonts w:asciiTheme="minorHAnsi" w:hAnsiTheme="minorHAnsi"/>
                <w:b/>
                <w:color w:val="000000"/>
                <w:sz w:val="24"/>
                <w:szCs w:val="24"/>
              </w:rPr>
              <w:t>1,038</w:t>
            </w:r>
          </w:p>
        </w:tc>
        <w:tc>
          <w:tcPr>
            <w:tcW w:w="1440" w:type="dxa"/>
            <w:tcBorders>
              <w:top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4"/>
                <w:szCs w:val="24"/>
              </w:rPr>
            </w:pPr>
            <w:r w:rsidRPr="00BA13B7">
              <w:rPr>
                <w:rFonts w:asciiTheme="minorHAnsi" w:hAnsiTheme="minorHAnsi"/>
                <w:b/>
                <w:color w:val="000000"/>
                <w:sz w:val="24"/>
                <w:szCs w:val="24"/>
              </w:rPr>
              <w:t>100.0%</w:t>
            </w:r>
          </w:p>
        </w:tc>
      </w:tr>
    </w:tbl>
    <w:p w:rsidR="004330E2" w:rsidRPr="00BA13B7" w:rsidRDefault="004330E2" w:rsidP="004330E2">
      <w:pPr>
        <w:pStyle w:val="NoSpacing"/>
        <w:spacing w:after="60"/>
        <w:rPr>
          <w:rFonts w:asciiTheme="minorHAnsi" w:hAnsiTheme="minorHAnsi"/>
          <w:sz w:val="24"/>
          <w:szCs w:val="20"/>
        </w:rPr>
      </w:pPr>
    </w:p>
    <w:p w:rsidR="004330E2" w:rsidRPr="00BA13B7" w:rsidRDefault="004330E2" w:rsidP="004330E2">
      <w:pPr>
        <w:pStyle w:val="Heading3"/>
        <w:spacing w:after="120"/>
        <w:rPr>
          <w:rFonts w:asciiTheme="minorHAnsi" w:hAnsiTheme="minorHAnsi" w:cs="Times New Roman"/>
          <w:color w:val="2E74B5" w:themeColor="accent1" w:themeShade="BF"/>
        </w:rPr>
      </w:pPr>
      <w:bookmarkStart w:id="22" w:name="_Toc2599821"/>
      <w:bookmarkStart w:id="23" w:name="_Toc10804138"/>
      <w:r w:rsidRPr="00BA13B7">
        <w:rPr>
          <w:rFonts w:asciiTheme="minorHAnsi" w:hAnsiTheme="minorHAnsi" w:cs="Times New Roman"/>
          <w:color w:val="2E74B5" w:themeColor="accent1" w:themeShade="BF"/>
        </w:rPr>
        <w:lastRenderedPageBreak/>
        <w:t xml:space="preserve">Table </w:t>
      </w:r>
      <w:r w:rsidR="007501A3">
        <w:rPr>
          <w:rFonts w:asciiTheme="minorHAnsi" w:hAnsiTheme="minorHAnsi" w:cs="Times New Roman"/>
          <w:color w:val="2E74B5" w:themeColor="accent1" w:themeShade="BF"/>
        </w:rPr>
        <w:t>8</w:t>
      </w:r>
      <w:r w:rsidRPr="00BA13B7">
        <w:rPr>
          <w:rFonts w:asciiTheme="minorHAnsi" w:hAnsiTheme="minorHAnsi" w:cs="Times New Roman"/>
          <w:color w:val="2E74B5" w:themeColor="accent1" w:themeShade="BF"/>
        </w:rPr>
        <w:t xml:space="preserve"> – Glendora 2017-18 Student Population by City: Total &amp; % of Total</w:t>
      </w:r>
      <w:bookmarkEnd w:id="22"/>
      <w:bookmarkEnd w:id="23"/>
    </w:p>
    <w:tbl>
      <w:tblPr>
        <w:tblStyle w:val="MediumShading2-Accent5"/>
        <w:tblW w:w="0" w:type="auto"/>
        <w:tblBorders>
          <w:left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28"/>
        <w:gridCol w:w="1440"/>
        <w:gridCol w:w="1440"/>
      </w:tblGrid>
      <w:tr w:rsidR="004330E2" w:rsidRPr="00BA13B7" w:rsidTr="0080717A">
        <w:trPr>
          <w:cnfStyle w:val="100000000000" w:firstRow="1" w:lastRow="0" w:firstColumn="0" w:lastColumn="0" w:oddVBand="0" w:evenVBand="0" w:oddHBand="0" w:evenHBand="0" w:firstRowFirstColumn="0" w:firstRowLastColumn="0" w:lastRowFirstColumn="0" w:lastRowLastColumn="0"/>
          <w:trHeight w:val="370"/>
        </w:trPr>
        <w:tc>
          <w:tcPr>
            <w:cnfStyle w:val="001000000100" w:firstRow="0" w:lastRow="0" w:firstColumn="1" w:lastColumn="0" w:oddVBand="0" w:evenVBand="0" w:oddHBand="0" w:evenHBand="0" w:firstRowFirstColumn="1" w:firstRowLastColumn="0" w:lastRowFirstColumn="0" w:lastRowLastColumn="0"/>
            <w:tcW w:w="1728" w:type="dxa"/>
            <w:tcBorders>
              <w:left w:val="single" w:sz="18" w:space="0" w:color="auto"/>
            </w:tcBorders>
            <w:vAlign w:val="center"/>
          </w:tcPr>
          <w:p w:rsidR="004330E2" w:rsidRPr="00BA13B7" w:rsidRDefault="004330E2" w:rsidP="0080717A">
            <w:pPr>
              <w:pStyle w:val="List2"/>
              <w:tabs>
                <w:tab w:val="left" w:pos="1080"/>
                <w:tab w:val="left" w:pos="9900"/>
              </w:tabs>
              <w:spacing w:before="0" w:after="60"/>
              <w:ind w:left="0" w:firstLine="0"/>
              <w:jc w:val="center"/>
              <w:rPr>
                <w:rFonts w:asciiTheme="minorHAnsi" w:hAnsiTheme="minorHAnsi"/>
                <w:b w:val="0"/>
              </w:rPr>
            </w:pPr>
            <w:r w:rsidRPr="00BA13B7">
              <w:rPr>
                <w:rFonts w:asciiTheme="minorHAnsi" w:hAnsiTheme="minorHAnsi"/>
                <w:b w:val="0"/>
              </w:rPr>
              <w:t>City</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Student Population</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 xml:space="preserve">% of Total </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bottom"/>
          </w:tcPr>
          <w:p w:rsidR="004330E2" w:rsidRPr="00BA13B7" w:rsidRDefault="004330E2" w:rsidP="0080717A">
            <w:pPr>
              <w:rPr>
                <w:rFonts w:asciiTheme="minorHAnsi" w:hAnsiTheme="minorHAnsi"/>
                <w:sz w:val="24"/>
              </w:rPr>
            </w:pPr>
            <w:r w:rsidRPr="00BA13B7">
              <w:rPr>
                <w:rFonts w:asciiTheme="minorHAnsi" w:hAnsiTheme="minorHAnsi"/>
                <w:sz w:val="24"/>
              </w:rPr>
              <w:t>Azusa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8</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4.0%</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bottom"/>
          </w:tcPr>
          <w:p w:rsidR="004330E2" w:rsidRPr="00BA13B7" w:rsidRDefault="004330E2" w:rsidP="0080717A">
            <w:pPr>
              <w:rPr>
                <w:rFonts w:asciiTheme="minorHAnsi" w:hAnsiTheme="minorHAnsi"/>
                <w:sz w:val="24"/>
              </w:rPr>
            </w:pPr>
            <w:r w:rsidRPr="00BA13B7">
              <w:rPr>
                <w:rFonts w:asciiTheme="minorHAnsi" w:hAnsiTheme="minorHAnsi"/>
                <w:sz w:val="24"/>
              </w:rPr>
              <w:t>Covina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14</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7.0%</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bottom"/>
          </w:tcPr>
          <w:p w:rsidR="004330E2" w:rsidRPr="00BA13B7" w:rsidRDefault="004330E2" w:rsidP="0080717A">
            <w:pPr>
              <w:rPr>
                <w:rFonts w:asciiTheme="minorHAnsi" w:hAnsiTheme="minorHAnsi"/>
                <w:sz w:val="24"/>
              </w:rPr>
            </w:pPr>
            <w:r w:rsidRPr="00BA13B7">
              <w:rPr>
                <w:rFonts w:asciiTheme="minorHAnsi" w:hAnsiTheme="minorHAnsi"/>
                <w:sz w:val="24"/>
              </w:rPr>
              <w:t>Glendora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132</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66.3%</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bottom"/>
          </w:tcPr>
          <w:p w:rsidR="004330E2" w:rsidRPr="00BA13B7" w:rsidRDefault="004330E2" w:rsidP="0080717A">
            <w:pPr>
              <w:rPr>
                <w:rFonts w:asciiTheme="minorHAnsi" w:hAnsiTheme="minorHAnsi"/>
                <w:sz w:val="24"/>
              </w:rPr>
            </w:pPr>
            <w:r w:rsidRPr="00BA13B7">
              <w:rPr>
                <w:rFonts w:asciiTheme="minorHAnsi" w:hAnsiTheme="minorHAnsi"/>
                <w:sz w:val="24"/>
              </w:rPr>
              <w:t>La Verne</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4</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2.0%</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bottom"/>
          </w:tcPr>
          <w:p w:rsidR="004330E2" w:rsidRPr="00BA13B7" w:rsidRDefault="004330E2" w:rsidP="0080717A">
            <w:pPr>
              <w:rPr>
                <w:rFonts w:asciiTheme="minorHAnsi" w:hAnsiTheme="minorHAnsi"/>
                <w:sz w:val="24"/>
              </w:rPr>
            </w:pPr>
            <w:r w:rsidRPr="00BA13B7">
              <w:rPr>
                <w:rFonts w:asciiTheme="minorHAnsi" w:hAnsiTheme="minorHAnsi"/>
                <w:sz w:val="24"/>
              </w:rPr>
              <w:t>San Dimas</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18</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9.0%</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bottom"/>
          </w:tcPr>
          <w:p w:rsidR="004330E2" w:rsidRPr="00BA13B7" w:rsidRDefault="004330E2" w:rsidP="0080717A">
            <w:pPr>
              <w:rPr>
                <w:rFonts w:asciiTheme="minorHAnsi" w:hAnsiTheme="minorHAnsi"/>
                <w:sz w:val="24"/>
              </w:rPr>
            </w:pPr>
            <w:r w:rsidRPr="00BA13B7">
              <w:rPr>
                <w:rFonts w:asciiTheme="minorHAnsi" w:hAnsiTheme="minorHAnsi"/>
                <w:sz w:val="24"/>
              </w:rPr>
              <w:t>Upland</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6</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3.0%</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bottom w:val="single" w:sz="12" w:space="0" w:color="auto"/>
            </w:tcBorders>
            <w:vAlign w:val="bottom"/>
          </w:tcPr>
          <w:p w:rsidR="004330E2" w:rsidRPr="00BA13B7" w:rsidRDefault="004330E2" w:rsidP="0080717A">
            <w:pPr>
              <w:rPr>
                <w:rFonts w:asciiTheme="minorHAnsi" w:hAnsiTheme="minorHAnsi"/>
                <w:sz w:val="24"/>
              </w:rPr>
            </w:pPr>
            <w:r w:rsidRPr="00BA13B7">
              <w:rPr>
                <w:rFonts w:asciiTheme="minorHAnsi" w:hAnsiTheme="minorHAnsi"/>
                <w:sz w:val="24"/>
              </w:rPr>
              <w:t>Misc. Other</w:t>
            </w:r>
          </w:p>
        </w:tc>
        <w:tc>
          <w:tcPr>
            <w:tcW w:w="1440" w:type="dxa"/>
            <w:tcBorders>
              <w:bottom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17</w:t>
            </w:r>
          </w:p>
        </w:tc>
        <w:tc>
          <w:tcPr>
            <w:tcW w:w="1440" w:type="dxa"/>
            <w:tcBorders>
              <w:bottom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rPr>
            </w:pPr>
            <w:r w:rsidRPr="00BA13B7">
              <w:rPr>
                <w:rFonts w:asciiTheme="minorHAnsi" w:hAnsiTheme="minorHAnsi"/>
                <w:color w:val="000000"/>
                <w:sz w:val="24"/>
              </w:rPr>
              <w:t>8.5%</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top w:val="single" w:sz="12" w:space="0" w:color="auto"/>
              <w:left w:val="single" w:sz="18" w:space="0" w:color="auto"/>
            </w:tcBorders>
            <w:vAlign w:val="bottom"/>
          </w:tcPr>
          <w:p w:rsidR="004330E2" w:rsidRPr="00BA13B7" w:rsidRDefault="004330E2" w:rsidP="0080717A">
            <w:pPr>
              <w:jc w:val="right"/>
              <w:rPr>
                <w:rFonts w:asciiTheme="minorHAnsi" w:hAnsiTheme="minorHAnsi"/>
                <w:color w:val="000000"/>
                <w:sz w:val="24"/>
              </w:rPr>
            </w:pPr>
          </w:p>
        </w:tc>
        <w:tc>
          <w:tcPr>
            <w:tcW w:w="1440" w:type="dxa"/>
            <w:tcBorders>
              <w:top w:val="single" w:sz="12"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4"/>
                <w:szCs w:val="24"/>
              </w:rPr>
            </w:pPr>
            <w:r w:rsidRPr="00BA13B7">
              <w:rPr>
                <w:rFonts w:asciiTheme="minorHAnsi" w:hAnsiTheme="minorHAnsi"/>
                <w:b/>
                <w:color w:val="000000"/>
                <w:sz w:val="24"/>
              </w:rPr>
              <w:t>199</w:t>
            </w:r>
          </w:p>
        </w:tc>
        <w:tc>
          <w:tcPr>
            <w:tcW w:w="1440" w:type="dxa"/>
            <w:tcBorders>
              <w:top w:val="single" w:sz="12"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4"/>
              </w:rPr>
            </w:pPr>
            <w:r w:rsidRPr="00BA13B7">
              <w:rPr>
                <w:rFonts w:asciiTheme="minorHAnsi" w:hAnsiTheme="minorHAnsi"/>
                <w:b/>
                <w:color w:val="000000"/>
                <w:sz w:val="24"/>
              </w:rPr>
              <w:t>100.0%</w:t>
            </w:r>
          </w:p>
        </w:tc>
      </w:tr>
    </w:tbl>
    <w:p w:rsidR="004330E2" w:rsidRPr="00BA13B7" w:rsidRDefault="004330E2" w:rsidP="004330E2">
      <w:pPr>
        <w:pStyle w:val="NoSpacing"/>
        <w:spacing w:after="60"/>
        <w:rPr>
          <w:rFonts w:asciiTheme="minorHAnsi" w:hAnsiTheme="minorHAnsi"/>
          <w:sz w:val="24"/>
          <w:szCs w:val="20"/>
        </w:rPr>
      </w:pPr>
    </w:p>
    <w:p w:rsidR="004330E2" w:rsidRPr="00BA13B7" w:rsidRDefault="004330E2" w:rsidP="004330E2">
      <w:pPr>
        <w:rPr>
          <w:rFonts w:eastAsiaTheme="majorEastAsia"/>
          <w:color w:val="2E74B5" w:themeColor="accent1" w:themeShade="BF"/>
          <w:sz w:val="26"/>
          <w:szCs w:val="26"/>
        </w:rPr>
      </w:pPr>
    </w:p>
    <w:p w:rsidR="004330E2" w:rsidRPr="004E305C" w:rsidRDefault="004330E2" w:rsidP="004330E2">
      <w:pPr>
        <w:pStyle w:val="Heading3"/>
        <w:spacing w:after="120"/>
        <w:rPr>
          <w:rFonts w:asciiTheme="minorHAnsi" w:hAnsiTheme="minorHAnsi" w:cs="Times New Roman"/>
          <w:color w:val="0070C0"/>
        </w:rPr>
      </w:pPr>
      <w:bookmarkStart w:id="24" w:name="_Toc2599822"/>
      <w:bookmarkStart w:id="25" w:name="_Toc10804139"/>
      <w:r w:rsidRPr="004E305C">
        <w:rPr>
          <w:rFonts w:asciiTheme="minorHAnsi" w:hAnsiTheme="minorHAnsi" w:cs="Times New Roman"/>
          <w:color w:val="0070C0"/>
        </w:rPr>
        <w:t xml:space="preserve">Table </w:t>
      </w:r>
      <w:r w:rsidR="007501A3" w:rsidRPr="004E305C">
        <w:rPr>
          <w:rFonts w:asciiTheme="minorHAnsi" w:hAnsiTheme="minorHAnsi" w:cs="Times New Roman"/>
          <w:color w:val="0070C0"/>
        </w:rPr>
        <w:t>9</w:t>
      </w:r>
      <w:r w:rsidR="00E15555" w:rsidRPr="004E305C">
        <w:rPr>
          <w:rFonts w:asciiTheme="minorHAnsi" w:hAnsiTheme="minorHAnsi" w:cs="Times New Roman"/>
          <w:color w:val="0070C0"/>
        </w:rPr>
        <w:t xml:space="preserve"> </w:t>
      </w:r>
      <w:r w:rsidRPr="004E305C">
        <w:rPr>
          <w:rFonts w:asciiTheme="minorHAnsi" w:hAnsiTheme="minorHAnsi" w:cs="Times New Roman"/>
          <w:color w:val="0070C0"/>
        </w:rPr>
        <w:t>– Monrovia 2017-18 Student Population by City: Total &amp; % of Total</w:t>
      </w:r>
      <w:bookmarkEnd w:id="24"/>
      <w:bookmarkEnd w:id="25"/>
    </w:p>
    <w:tbl>
      <w:tblPr>
        <w:tblStyle w:val="MediumShading2-Accent5"/>
        <w:tblW w:w="0" w:type="auto"/>
        <w:tblBorders>
          <w:left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28"/>
        <w:gridCol w:w="1440"/>
        <w:gridCol w:w="1440"/>
      </w:tblGrid>
      <w:tr w:rsidR="004330E2" w:rsidRPr="00BA13B7" w:rsidTr="0080717A">
        <w:trPr>
          <w:cnfStyle w:val="100000000000" w:firstRow="1" w:lastRow="0" w:firstColumn="0" w:lastColumn="0" w:oddVBand="0" w:evenVBand="0" w:oddHBand="0" w:evenHBand="0" w:firstRowFirstColumn="0" w:firstRowLastColumn="0" w:lastRowFirstColumn="0" w:lastRowLastColumn="0"/>
          <w:trHeight w:val="370"/>
        </w:trPr>
        <w:tc>
          <w:tcPr>
            <w:cnfStyle w:val="001000000100" w:firstRow="0" w:lastRow="0" w:firstColumn="1" w:lastColumn="0" w:oddVBand="0" w:evenVBand="0" w:oddHBand="0" w:evenHBand="0" w:firstRowFirstColumn="1" w:firstRowLastColumn="0" w:lastRowFirstColumn="0" w:lastRowLastColumn="0"/>
            <w:tcW w:w="1728" w:type="dxa"/>
            <w:tcBorders>
              <w:left w:val="single" w:sz="18" w:space="0" w:color="auto"/>
            </w:tcBorders>
            <w:vAlign w:val="center"/>
          </w:tcPr>
          <w:p w:rsidR="004330E2" w:rsidRPr="00BA13B7" w:rsidRDefault="004330E2" w:rsidP="0080717A">
            <w:pPr>
              <w:pStyle w:val="List2"/>
              <w:tabs>
                <w:tab w:val="left" w:pos="1080"/>
                <w:tab w:val="left" w:pos="9900"/>
              </w:tabs>
              <w:spacing w:before="0" w:after="60"/>
              <w:ind w:left="0" w:firstLine="0"/>
              <w:jc w:val="center"/>
              <w:rPr>
                <w:rFonts w:asciiTheme="minorHAnsi" w:hAnsiTheme="minorHAnsi"/>
                <w:b w:val="0"/>
              </w:rPr>
            </w:pPr>
            <w:r w:rsidRPr="00BA13B7">
              <w:rPr>
                <w:rFonts w:asciiTheme="minorHAnsi" w:hAnsiTheme="minorHAnsi"/>
                <w:b w:val="0"/>
              </w:rPr>
              <w:t>City</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Student Population</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 xml:space="preserve">% of Total </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 xml:space="preserve">Arcadia </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404</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19.49%</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Azusa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87</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4.20%</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Duarte</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317</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15.29%</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Monrovia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614</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29.62%</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Pasadena, Altadena, Sierra Madre</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133</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6.42%</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Temple City</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44</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2.12%</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bottom w:val="single" w:sz="12"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Misc. Other Municipalities</w:t>
            </w:r>
          </w:p>
        </w:tc>
        <w:tc>
          <w:tcPr>
            <w:tcW w:w="1440" w:type="dxa"/>
            <w:tcBorders>
              <w:bottom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474</w:t>
            </w:r>
          </w:p>
        </w:tc>
        <w:tc>
          <w:tcPr>
            <w:tcW w:w="1440" w:type="dxa"/>
            <w:tcBorders>
              <w:bottom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22.87%</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top w:val="single" w:sz="12" w:space="0" w:color="auto"/>
              <w:left w:val="single" w:sz="18" w:space="0" w:color="auto"/>
            </w:tcBorders>
            <w:vAlign w:val="center"/>
          </w:tcPr>
          <w:p w:rsidR="004330E2" w:rsidRPr="00BA13B7" w:rsidRDefault="004330E2" w:rsidP="0080717A">
            <w:pPr>
              <w:jc w:val="center"/>
              <w:rPr>
                <w:rFonts w:asciiTheme="minorHAnsi" w:hAnsiTheme="minorHAnsi"/>
                <w:sz w:val="24"/>
              </w:rPr>
            </w:pPr>
            <w:r w:rsidRPr="00BA13B7">
              <w:rPr>
                <w:rFonts w:asciiTheme="minorHAnsi" w:hAnsiTheme="minorHAnsi"/>
                <w:sz w:val="24"/>
              </w:rPr>
              <w:t>TOTAL</w:t>
            </w:r>
          </w:p>
        </w:tc>
        <w:tc>
          <w:tcPr>
            <w:tcW w:w="1440" w:type="dxa"/>
            <w:tcBorders>
              <w:top w:val="single" w:sz="12"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sidRPr="00BA13B7">
              <w:rPr>
                <w:rFonts w:asciiTheme="minorHAnsi" w:hAnsiTheme="minorHAnsi"/>
                <w:b/>
                <w:sz w:val="24"/>
              </w:rPr>
              <w:t>2,073</w:t>
            </w:r>
          </w:p>
        </w:tc>
        <w:tc>
          <w:tcPr>
            <w:tcW w:w="1440" w:type="dxa"/>
            <w:tcBorders>
              <w:top w:val="single" w:sz="12"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100.0%</w:t>
            </w:r>
          </w:p>
        </w:tc>
      </w:tr>
    </w:tbl>
    <w:p w:rsidR="004330E2" w:rsidRPr="00BA13B7" w:rsidRDefault="004330E2" w:rsidP="004330E2">
      <w:pPr>
        <w:pStyle w:val="NoSpacing"/>
        <w:spacing w:after="60"/>
        <w:rPr>
          <w:rFonts w:asciiTheme="minorHAnsi" w:hAnsiTheme="minorHAnsi"/>
          <w:sz w:val="24"/>
          <w:szCs w:val="20"/>
        </w:rPr>
      </w:pPr>
    </w:p>
    <w:p w:rsidR="004330E2" w:rsidRPr="00BA13B7" w:rsidRDefault="004330E2" w:rsidP="004330E2"/>
    <w:p w:rsidR="004330E2" w:rsidRPr="004E305C" w:rsidRDefault="00CA0D8E" w:rsidP="00CA0D8E">
      <w:pPr>
        <w:pStyle w:val="Heading3"/>
        <w:spacing w:before="120" w:after="120"/>
        <w:rPr>
          <w:rFonts w:asciiTheme="minorHAnsi" w:hAnsiTheme="minorHAnsi"/>
          <w:color w:val="0070C0"/>
        </w:rPr>
      </w:pPr>
      <w:bookmarkStart w:id="26" w:name="_Toc2599823"/>
      <w:bookmarkStart w:id="27" w:name="_Toc10804140"/>
      <w:r w:rsidRPr="004E305C">
        <w:rPr>
          <w:rFonts w:asciiTheme="minorHAnsi" w:hAnsiTheme="minorHAnsi" w:cs="Times New Roman"/>
          <w:color w:val="0070C0"/>
        </w:rPr>
        <w:lastRenderedPageBreak/>
        <w:t xml:space="preserve">Table </w:t>
      </w:r>
      <w:r w:rsidR="007501A3" w:rsidRPr="004E305C">
        <w:rPr>
          <w:rFonts w:asciiTheme="minorHAnsi" w:hAnsiTheme="minorHAnsi" w:cs="Times New Roman"/>
          <w:color w:val="0070C0"/>
        </w:rPr>
        <w:t>10</w:t>
      </w:r>
      <w:r w:rsidR="004330E2" w:rsidRPr="004E305C">
        <w:rPr>
          <w:rFonts w:asciiTheme="minorHAnsi" w:hAnsiTheme="minorHAnsi" w:cs="Times New Roman"/>
          <w:color w:val="0070C0"/>
        </w:rPr>
        <w:t xml:space="preserve"> – CCAEC Aggregate 2017-18 Student Population by City: Total &amp; % of Total</w:t>
      </w:r>
      <w:bookmarkEnd w:id="26"/>
      <w:bookmarkEnd w:id="27"/>
    </w:p>
    <w:tbl>
      <w:tblPr>
        <w:tblStyle w:val="MediumShading2-Accent5"/>
        <w:tblW w:w="0" w:type="auto"/>
        <w:tblBorders>
          <w:left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28"/>
        <w:gridCol w:w="1440"/>
        <w:gridCol w:w="1440"/>
      </w:tblGrid>
      <w:tr w:rsidR="004330E2" w:rsidRPr="00BA13B7" w:rsidTr="0080717A">
        <w:trPr>
          <w:cnfStyle w:val="100000000000" w:firstRow="1" w:lastRow="0" w:firstColumn="0" w:lastColumn="0" w:oddVBand="0" w:evenVBand="0" w:oddHBand="0" w:evenHBand="0" w:firstRowFirstColumn="0" w:firstRowLastColumn="0" w:lastRowFirstColumn="0" w:lastRowLastColumn="0"/>
          <w:trHeight w:val="370"/>
        </w:trPr>
        <w:tc>
          <w:tcPr>
            <w:cnfStyle w:val="001000000100" w:firstRow="0" w:lastRow="0" w:firstColumn="1" w:lastColumn="0" w:oddVBand="0" w:evenVBand="0" w:oddHBand="0" w:evenHBand="0" w:firstRowFirstColumn="1" w:firstRowLastColumn="0" w:lastRowFirstColumn="0" w:lastRowLastColumn="0"/>
            <w:tcW w:w="1728" w:type="dxa"/>
            <w:tcBorders>
              <w:left w:val="single" w:sz="18" w:space="0" w:color="auto"/>
            </w:tcBorders>
            <w:vAlign w:val="center"/>
          </w:tcPr>
          <w:p w:rsidR="004330E2" w:rsidRPr="00BA13B7" w:rsidRDefault="004330E2" w:rsidP="0080717A">
            <w:pPr>
              <w:pStyle w:val="List2"/>
              <w:tabs>
                <w:tab w:val="left" w:pos="1080"/>
                <w:tab w:val="left" w:pos="9900"/>
              </w:tabs>
              <w:spacing w:before="0" w:after="60"/>
              <w:ind w:left="0" w:firstLine="0"/>
              <w:jc w:val="center"/>
              <w:rPr>
                <w:rFonts w:asciiTheme="minorHAnsi" w:hAnsiTheme="minorHAnsi"/>
                <w:b w:val="0"/>
              </w:rPr>
            </w:pPr>
            <w:r w:rsidRPr="00BA13B7">
              <w:rPr>
                <w:rFonts w:asciiTheme="minorHAnsi" w:hAnsiTheme="minorHAnsi"/>
                <w:b w:val="0"/>
              </w:rPr>
              <w:t>City</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Student Population</w:t>
            </w:r>
          </w:p>
        </w:tc>
        <w:tc>
          <w:tcPr>
            <w:tcW w:w="1440" w:type="dxa"/>
            <w:vAlign w:val="center"/>
          </w:tcPr>
          <w:p w:rsidR="004330E2" w:rsidRPr="00BA13B7" w:rsidRDefault="004330E2" w:rsidP="0080717A">
            <w:pPr>
              <w:pStyle w:val="List2"/>
              <w:tabs>
                <w:tab w:val="left" w:pos="1080"/>
                <w:tab w:val="left" w:pos="9900"/>
              </w:tabs>
              <w:spacing w:before="0" w:after="60"/>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A13B7">
              <w:rPr>
                <w:rFonts w:asciiTheme="minorHAnsi" w:hAnsiTheme="minorHAnsi"/>
                <w:b w:val="0"/>
              </w:rPr>
              <w:t xml:space="preserve">% of Total </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Azusa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885</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16.83%</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Monrovia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631</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12.00%</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Glendora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428</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8.14%</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 xml:space="preserve">Arcadia </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410</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7.80%</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Claremont</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345</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6.56%</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Duarte</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337</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6.41%</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Covina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317</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6.03%</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Pomona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255</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4.85%</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Pasadena, Altadena, Sierra Madre</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137</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2.61%</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La Verne</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108</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2.05%</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San Dimas</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101</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1.92%</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Upland</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101</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1.92%</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Montclair</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90</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1.71%</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West Covina</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80</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1.52%</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Temple City</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44</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0.84%</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Ontario</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43</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0.82%</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Rancho Cucamonga</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43</w:t>
            </w:r>
          </w:p>
        </w:tc>
        <w:tc>
          <w:tcPr>
            <w:tcW w:w="1440"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BA13B7">
              <w:rPr>
                <w:rFonts w:asciiTheme="minorHAnsi" w:hAnsiTheme="minorHAnsi"/>
                <w:sz w:val="24"/>
              </w:rPr>
              <w:t>0.82%</w:t>
            </w:r>
          </w:p>
        </w:tc>
      </w:tr>
      <w:tr w:rsidR="004330E2" w:rsidRPr="00BA13B7" w:rsidTr="0080717A">
        <w:trPr>
          <w:trHeight w:val="443"/>
        </w:trPr>
        <w:tc>
          <w:tcPr>
            <w:cnfStyle w:val="001000000000" w:firstRow="0" w:lastRow="0" w:firstColumn="1" w:lastColumn="0" w:oddVBand="0" w:evenVBand="0" w:oddHBand="0" w:evenHBand="0" w:firstRowFirstColumn="0" w:firstRowLastColumn="0" w:lastRowFirstColumn="0" w:lastRowLastColumn="0"/>
            <w:tcW w:w="1728" w:type="dxa"/>
            <w:tcBorders>
              <w:left w:val="single" w:sz="18" w:space="0" w:color="auto"/>
            </w:tcBorders>
            <w:vAlign w:val="center"/>
          </w:tcPr>
          <w:p w:rsidR="004330E2" w:rsidRPr="00BA13B7" w:rsidRDefault="004330E2" w:rsidP="0080717A">
            <w:pPr>
              <w:rPr>
                <w:rFonts w:asciiTheme="minorHAnsi" w:hAnsiTheme="minorHAnsi"/>
                <w:sz w:val="24"/>
              </w:rPr>
            </w:pPr>
            <w:r w:rsidRPr="00BA13B7">
              <w:rPr>
                <w:rFonts w:asciiTheme="minorHAnsi" w:hAnsiTheme="minorHAnsi"/>
                <w:sz w:val="24"/>
              </w:rPr>
              <w:t>Misc. Other Municipalities</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904</w:t>
            </w:r>
          </w:p>
        </w:tc>
        <w:tc>
          <w:tcPr>
            <w:tcW w:w="1440"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sidRPr="00BA13B7">
              <w:rPr>
                <w:rFonts w:asciiTheme="minorHAnsi" w:hAnsiTheme="minorHAnsi"/>
                <w:sz w:val="24"/>
              </w:rPr>
              <w:t>17.19%</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728" w:type="dxa"/>
            <w:tcBorders>
              <w:top w:val="single" w:sz="12" w:space="0" w:color="auto"/>
              <w:left w:val="single" w:sz="18" w:space="0" w:color="auto"/>
            </w:tcBorders>
            <w:vAlign w:val="center"/>
          </w:tcPr>
          <w:p w:rsidR="004330E2" w:rsidRPr="00BA13B7" w:rsidRDefault="004330E2" w:rsidP="0080717A">
            <w:pPr>
              <w:jc w:val="center"/>
              <w:rPr>
                <w:rFonts w:asciiTheme="minorHAnsi" w:hAnsiTheme="minorHAnsi"/>
                <w:sz w:val="24"/>
                <w:szCs w:val="24"/>
              </w:rPr>
            </w:pPr>
            <w:r w:rsidRPr="00BA13B7">
              <w:rPr>
                <w:rFonts w:asciiTheme="minorHAnsi" w:hAnsiTheme="minorHAnsi"/>
                <w:sz w:val="24"/>
                <w:szCs w:val="24"/>
              </w:rPr>
              <w:t>TOTAL</w:t>
            </w:r>
          </w:p>
        </w:tc>
        <w:tc>
          <w:tcPr>
            <w:tcW w:w="1440" w:type="dxa"/>
            <w:tcBorders>
              <w:top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BA13B7">
              <w:rPr>
                <w:rFonts w:asciiTheme="minorHAnsi" w:hAnsiTheme="minorHAnsi"/>
                <w:b/>
                <w:sz w:val="24"/>
                <w:szCs w:val="24"/>
              </w:rPr>
              <w:t>5,259</w:t>
            </w:r>
          </w:p>
        </w:tc>
        <w:tc>
          <w:tcPr>
            <w:tcW w:w="1440" w:type="dxa"/>
            <w:tcBorders>
              <w:top w:val="single" w:sz="12"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BA13B7">
              <w:rPr>
                <w:rFonts w:asciiTheme="minorHAnsi" w:hAnsiTheme="minorHAnsi"/>
                <w:b/>
                <w:sz w:val="24"/>
                <w:szCs w:val="24"/>
              </w:rPr>
              <w:t>100%</w:t>
            </w:r>
          </w:p>
        </w:tc>
      </w:tr>
    </w:tbl>
    <w:p w:rsidR="004330E2" w:rsidRPr="00317C07" w:rsidRDefault="004330E2" w:rsidP="004330E2">
      <w:pPr>
        <w:pStyle w:val="BodyText"/>
        <w:spacing w:before="120" w:line="268" w:lineRule="exact"/>
        <w:rPr>
          <w:rFonts w:asciiTheme="minorHAnsi" w:hAnsiTheme="minorHAnsi"/>
          <w:sz w:val="22"/>
          <w:szCs w:val="24"/>
        </w:rPr>
      </w:pPr>
      <w:r w:rsidRPr="00317C07">
        <w:rPr>
          <w:rFonts w:asciiTheme="minorHAnsi" w:hAnsiTheme="minorHAnsi"/>
          <w:sz w:val="22"/>
          <w:szCs w:val="24"/>
        </w:rPr>
        <w:t>The consortium primarily serves 16 municipalities as li</w:t>
      </w:r>
      <w:r w:rsidR="00AB5FF1" w:rsidRPr="00317C07">
        <w:rPr>
          <w:rFonts w:asciiTheme="minorHAnsi" w:hAnsiTheme="minorHAnsi"/>
          <w:sz w:val="22"/>
          <w:szCs w:val="24"/>
        </w:rPr>
        <w:t>sted above. According to Table 1</w:t>
      </w:r>
      <w:r w:rsidR="00D860B5" w:rsidRPr="00317C07">
        <w:rPr>
          <w:rFonts w:asciiTheme="minorHAnsi" w:hAnsiTheme="minorHAnsi"/>
          <w:sz w:val="22"/>
          <w:szCs w:val="24"/>
        </w:rPr>
        <w:t>0</w:t>
      </w:r>
      <w:r w:rsidRPr="00317C07">
        <w:rPr>
          <w:rFonts w:asciiTheme="minorHAnsi" w:hAnsiTheme="minorHAnsi"/>
          <w:sz w:val="22"/>
          <w:szCs w:val="24"/>
        </w:rPr>
        <w:t>, approximately 17% of the student’s served are outside of those 16 San Gabriel Valley cities. However, a small portion of that 17% would probably fall into the one of those 16 cities. For example, students from Rancho Cucamonga served by Monrovia would have been counted in “Misc. Other Municipalities,” whereas those residents comprise nearly 4% of Claremont student population. However, it is safe to say the majority of that 17% lives outside of the 16</w:t>
      </w:r>
      <w:r w:rsidR="00C73978" w:rsidRPr="00317C07">
        <w:rPr>
          <w:rFonts w:asciiTheme="minorHAnsi" w:hAnsiTheme="minorHAnsi"/>
          <w:sz w:val="22"/>
          <w:szCs w:val="24"/>
        </w:rPr>
        <w:t xml:space="preserve"> </w:t>
      </w:r>
      <w:r w:rsidRPr="00317C07">
        <w:rPr>
          <w:rFonts w:asciiTheme="minorHAnsi" w:hAnsiTheme="minorHAnsi"/>
          <w:sz w:val="22"/>
          <w:szCs w:val="24"/>
        </w:rPr>
        <w:t xml:space="preserve">cities served by member institutions demonstrating the wide reach the consortium has across Los Angeles County and even neighboring counties. </w:t>
      </w:r>
    </w:p>
    <w:p w:rsidR="00317C07" w:rsidRPr="00BA13B7" w:rsidRDefault="00317C07" w:rsidP="00317C07">
      <w:pPr>
        <w:pStyle w:val="Heading3"/>
        <w:spacing w:after="60"/>
        <w:rPr>
          <w:rFonts w:asciiTheme="minorHAnsi" w:hAnsiTheme="minorHAnsi" w:cs="Times New Roman"/>
        </w:rPr>
      </w:pPr>
      <w:bookmarkStart w:id="28" w:name="_Toc522746281"/>
      <w:bookmarkStart w:id="29" w:name="_Toc2599824"/>
      <w:bookmarkStart w:id="30" w:name="_Toc10804141"/>
      <w:r w:rsidRPr="00BA13B7">
        <w:rPr>
          <w:rFonts w:asciiTheme="minorHAnsi" w:hAnsiTheme="minorHAnsi" w:cs="Times New Roman"/>
        </w:rPr>
        <w:lastRenderedPageBreak/>
        <w:t>Community Profile: The Region We</w:t>
      </w:r>
      <w:r>
        <w:rPr>
          <w:rFonts w:asciiTheme="minorHAnsi" w:hAnsiTheme="minorHAnsi" w:cs="Times New Roman"/>
        </w:rPr>
        <w:t xml:space="preserve"> </w:t>
      </w:r>
      <w:r w:rsidRPr="00BA13B7">
        <w:rPr>
          <w:rFonts w:asciiTheme="minorHAnsi" w:hAnsiTheme="minorHAnsi" w:cs="Times New Roman"/>
        </w:rPr>
        <w:t>Serve</w:t>
      </w:r>
      <w:bookmarkEnd w:id="30"/>
    </w:p>
    <w:p w:rsidR="00317C07" w:rsidRPr="001D3CD4" w:rsidRDefault="001D3CD4" w:rsidP="001D3CD4">
      <w:r w:rsidRPr="001D3CD4">
        <w:t>F</w:t>
      </w:r>
      <w:r>
        <w:t>or planning purposes, CCAEC members focused on two primary population characteristics: English Speaking and No HSD / HSE. The reason for that are obvious as two of the most critical goals of member schools is to help adults learn English and earn a high school diploma or equivalency. Based on the cities from Table 10, below are population characteristics for the region.</w:t>
      </w:r>
    </w:p>
    <w:p w:rsidR="004330E2" w:rsidRPr="004E305C" w:rsidRDefault="007501A3" w:rsidP="004330E2">
      <w:pPr>
        <w:pStyle w:val="Heading3"/>
        <w:spacing w:after="120"/>
        <w:rPr>
          <w:rFonts w:asciiTheme="minorHAnsi" w:hAnsiTheme="minorHAnsi"/>
          <w:color w:val="0070C0"/>
        </w:rPr>
      </w:pPr>
      <w:bookmarkStart w:id="31" w:name="_Toc10804142"/>
      <w:r w:rsidRPr="004E305C">
        <w:rPr>
          <w:rFonts w:asciiTheme="minorHAnsi" w:hAnsiTheme="minorHAnsi" w:cs="Times New Roman"/>
          <w:color w:val="0070C0"/>
        </w:rPr>
        <w:t>Table 11</w:t>
      </w:r>
      <w:r w:rsidR="004330E2" w:rsidRPr="004E305C">
        <w:rPr>
          <w:rFonts w:asciiTheme="minorHAnsi" w:hAnsiTheme="minorHAnsi" w:cs="Times New Roman"/>
          <w:color w:val="0070C0"/>
        </w:rPr>
        <w:t xml:space="preserve"> – Characteristics of All Major Cities Served by CCAEC</w:t>
      </w:r>
      <w:bookmarkEnd w:id="28"/>
      <w:bookmarkEnd w:id="29"/>
      <w:bookmarkEnd w:id="31"/>
    </w:p>
    <w:tbl>
      <w:tblPr>
        <w:tblStyle w:val="MediumShading2-Accent5"/>
        <w:tblW w:w="0" w:type="auto"/>
        <w:tblLook w:val="04A0" w:firstRow="1" w:lastRow="0" w:firstColumn="1" w:lastColumn="0" w:noHBand="0" w:noVBand="1"/>
      </w:tblPr>
      <w:tblGrid>
        <w:gridCol w:w="2181"/>
        <w:gridCol w:w="1410"/>
        <w:gridCol w:w="1445"/>
        <w:gridCol w:w="1414"/>
        <w:gridCol w:w="1445"/>
        <w:gridCol w:w="1465"/>
      </w:tblGrid>
      <w:tr w:rsidR="004330E2" w:rsidRPr="00BA13B7" w:rsidTr="0080717A">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1861" w:type="dxa"/>
            <w:vAlign w:val="center"/>
          </w:tcPr>
          <w:p w:rsidR="004330E2" w:rsidRPr="00BA13B7" w:rsidRDefault="004330E2" w:rsidP="0080717A">
            <w:pPr>
              <w:jc w:val="center"/>
              <w:rPr>
                <w:rFonts w:asciiTheme="minorHAnsi" w:hAnsiTheme="minorHAnsi"/>
              </w:rPr>
            </w:pPr>
            <w:r w:rsidRPr="00BA13B7">
              <w:rPr>
                <w:rFonts w:asciiTheme="minorHAnsi" w:hAnsiTheme="minorHAnsi"/>
              </w:rPr>
              <w:t>City</w:t>
            </w:r>
          </w:p>
        </w:tc>
        <w:tc>
          <w:tcPr>
            <w:tcW w:w="1584" w:type="dxa"/>
            <w:vAlign w:val="center"/>
          </w:tcPr>
          <w:p w:rsidR="004330E2" w:rsidRPr="00BA13B7" w:rsidRDefault="004330E2" w:rsidP="008071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A13B7">
              <w:rPr>
                <w:rFonts w:asciiTheme="minorHAnsi" w:hAnsiTheme="minorHAnsi"/>
              </w:rPr>
              <w:t>5 Years &amp; Older Speaks English  &lt; “Very Well”</w:t>
            </w:r>
          </w:p>
        </w:tc>
        <w:tc>
          <w:tcPr>
            <w:tcW w:w="1584" w:type="dxa"/>
            <w:vAlign w:val="center"/>
          </w:tcPr>
          <w:p w:rsidR="004330E2" w:rsidRPr="00BA13B7" w:rsidRDefault="004330E2" w:rsidP="008071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A13B7">
              <w:rPr>
                <w:rFonts w:asciiTheme="minorHAnsi" w:hAnsiTheme="minorHAnsi"/>
              </w:rPr>
              <w:t>As % of City Population</w:t>
            </w:r>
          </w:p>
        </w:tc>
        <w:tc>
          <w:tcPr>
            <w:tcW w:w="1584" w:type="dxa"/>
            <w:vAlign w:val="center"/>
          </w:tcPr>
          <w:p w:rsidR="004330E2" w:rsidRPr="00BA13B7" w:rsidRDefault="004330E2" w:rsidP="008071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A13B7">
              <w:rPr>
                <w:rFonts w:asciiTheme="minorHAnsi" w:hAnsiTheme="minorHAnsi"/>
              </w:rPr>
              <w:t>Residents over 25 &amp; No HSD or HSE</w:t>
            </w:r>
          </w:p>
        </w:tc>
        <w:tc>
          <w:tcPr>
            <w:tcW w:w="1584" w:type="dxa"/>
            <w:vAlign w:val="center"/>
          </w:tcPr>
          <w:p w:rsidR="004330E2" w:rsidRPr="00BA13B7" w:rsidRDefault="004330E2" w:rsidP="008071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A13B7">
              <w:rPr>
                <w:rFonts w:asciiTheme="minorHAnsi" w:hAnsiTheme="minorHAnsi"/>
              </w:rPr>
              <w:t>As % of City Population</w:t>
            </w:r>
          </w:p>
        </w:tc>
        <w:tc>
          <w:tcPr>
            <w:tcW w:w="1584" w:type="dxa"/>
            <w:vAlign w:val="center"/>
          </w:tcPr>
          <w:p w:rsidR="004330E2" w:rsidRPr="00BA13B7" w:rsidRDefault="004330E2" w:rsidP="008071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A13B7">
              <w:rPr>
                <w:rFonts w:asciiTheme="minorHAnsi" w:hAnsiTheme="minorHAnsi"/>
              </w:rPr>
              <w:t>Total Population</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Arcadia</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16,926</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30.0%</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3,396</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6.0%</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56,364</w:t>
            </w:r>
          </w:p>
        </w:tc>
      </w:tr>
      <w:tr w:rsidR="004330E2" w:rsidRPr="00BA13B7" w:rsidTr="0080717A">
        <w:trPr>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Azusa</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9,258</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20.0%</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6,094</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13.1%</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46,361</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Claremont</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2,563</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7.3%</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1,344</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3.8%</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34,926</w:t>
            </w:r>
          </w:p>
        </w:tc>
      </w:tr>
      <w:tr w:rsidR="004330E2" w:rsidRPr="00BA13B7" w:rsidTr="0080717A">
        <w:trPr>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Covina</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6,013</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12.6%</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4,476</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9.4%</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47,796</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Duarte</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4,801</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22.5%</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2,582</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12.1%</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21,321</w:t>
            </w:r>
          </w:p>
        </w:tc>
      </w:tr>
      <w:tr w:rsidR="004330E2" w:rsidRPr="00BA13B7" w:rsidTr="0080717A">
        <w:trPr>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Glendora</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4,372</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8.7%</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3,576</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7.1%</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50,073</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La Verne</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1,912</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6.2%</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1,862</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6.0%</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31,063</w:t>
            </w:r>
          </w:p>
        </w:tc>
      </w:tr>
      <w:tr w:rsidR="004330E2" w:rsidRPr="00BA13B7" w:rsidTr="0080717A">
        <w:trPr>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Monrovia</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5,197</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14.2%</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2,999</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8.2%</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36,590</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Montclair</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9,440</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25.7%</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7,041</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19.2%</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36,664</w:t>
            </w:r>
          </w:p>
        </w:tc>
      </w:tr>
      <w:tr w:rsidR="004330E2" w:rsidRPr="00BA13B7" w:rsidTr="0080717A">
        <w:trPr>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Ontario</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28,643</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17.5%</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33,795</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20.6%</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163,924</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Pasadena/Altadena</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22,828</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16.6%</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12,770</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9.3%</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137,122</w:t>
            </w:r>
          </w:p>
        </w:tc>
      </w:tr>
      <w:tr w:rsidR="004330E2" w:rsidRPr="00BA13B7" w:rsidTr="0080717A">
        <w:trPr>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Pomona</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38,478</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25.8%</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29,012</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19.5%</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149,058</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San Dimas</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1,707</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5.1%</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3,253</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9.7%</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33,371</w:t>
            </w:r>
          </w:p>
        </w:tc>
      </w:tr>
      <w:tr w:rsidR="004330E2" w:rsidRPr="00BA13B7" w:rsidTr="0080717A">
        <w:trPr>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Temple City</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11,869</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33.4%</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4,037</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11.4%</w:t>
            </w:r>
          </w:p>
        </w:tc>
        <w:tc>
          <w:tcPr>
            <w:tcW w:w="158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35,558</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1"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Upland</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8,602</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11.7%</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5,192</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7.0%</w:t>
            </w:r>
          </w:p>
        </w:tc>
        <w:tc>
          <w:tcPr>
            <w:tcW w:w="158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73,732</w:t>
            </w:r>
          </w:p>
        </w:tc>
      </w:tr>
      <w:tr w:rsidR="004330E2" w:rsidRPr="00BA13B7" w:rsidTr="0080717A">
        <w:trPr>
          <w:trHeight w:val="432"/>
        </w:trPr>
        <w:tc>
          <w:tcPr>
            <w:cnfStyle w:val="001000000000" w:firstRow="0" w:lastRow="0" w:firstColumn="1" w:lastColumn="0" w:oddVBand="0" w:evenVBand="0" w:oddHBand="0" w:evenHBand="0" w:firstRowFirstColumn="0" w:firstRowLastColumn="0" w:lastRowFirstColumn="0" w:lastRowLastColumn="0"/>
            <w:tcW w:w="1861" w:type="dxa"/>
            <w:tcBorders>
              <w:bottom w:val="single" w:sz="18" w:space="0" w:color="auto"/>
            </w:tcBorders>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West Covina</w:t>
            </w:r>
          </w:p>
        </w:tc>
        <w:tc>
          <w:tcPr>
            <w:tcW w:w="1584" w:type="dxa"/>
            <w:tcBorders>
              <w:bottom w:val="single" w:sz="18"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21,038</w:t>
            </w:r>
          </w:p>
        </w:tc>
        <w:tc>
          <w:tcPr>
            <w:tcW w:w="1584" w:type="dxa"/>
            <w:tcBorders>
              <w:bottom w:val="single" w:sz="18"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19.8%</w:t>
            </w:r>
          </w:p>
        </w:tc>
        <w:tc>
          <w:tcPr>
            <w:tcW w:w="1584" w:type="dxa"/>
            <w:tcBorders>
              <w:bottom w:val="single" w:sz="18"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11,268</w:t>
            </w:r>
          </w:p>
        </w:tc>
        <w:tc>
          <w:tcPr>
            <w:tcW w:w="1584" w:type="dxa"/>
            <w:tcBorders>
              <w:bottom w:val="single" w:sz="18"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10.6%</w:t>
            </w:r>
          </w:p>
        </w:tc>
        <w:tc>
          <w:tcPr>
            <w:tcW w:w="1584" w:type="dxa"/>
            <w:tcBorders>
              <w:bottom w:val="single" w:sz="18"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106,098</w:t>
            </w:r>
          </w:p>
        </w:tc>
      </w:tr>
      <w:tr w:rsidR="004330E2" w:rsidRPr="00BA13B7" w:rsidTr="0080717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1" w:type="dxa"/>
            <w:tcBorders>
              <w:top w:val="single" w:sz="18" w:space="0" w:color="auto"/>
            </w:tcBorders>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Total</w:t>
            </w:r>
          </w:p>
        </w:tc>
        <w:tc>
          <w:tcPr>
            <w:tcW w:w="1584" w:type="dxa"/>
            <w:tcBorders>
              <w:top w:val="single" w:sz="18" w:space="0" w:color="auto"/>
              <w:bottom w:val="single" w:sz="18"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BA13B7">
              <w:rPr>
                <w:rFonts w:asciiTheme="minorHAnsi" w:hAnsiTheme="minorHAnsi"/>
                <w:b/>
                <w:sz w:val="24"/>
                <w:szCs w:val="24"/>
              </w:rPr>
              <w:t>193,647</w:t>
            </w:r>
          </w:p>
        </w:tc>
        <w:tc>
          <w:tcPr>
            <w:tcW w:w="1584" w:type="dxa"/>
            <w:tcBorders>
              <w:top w:val="single" w:sz="18" w:space="0" w:color="auto"/>
              <w:bottom w:val="single" w:sz="18"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p>
        </w:tc>
        <w:tc>
          <w:tcPr>
            <w:tcW w:w="1584" w:type="dxa"/>
            <w:tcBorders>
              <w:top w:val="single" w:sz="18" w:space="0" w:color="auto"/>
              <w:bottom w:val="single" w:sz="18"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BA13B7">
              <w:rPr>
                <w:rFonts w:asciiTheme="minorHAnsi" w:hAnsiTheme="minorHAnsi"/>
                <w:b/>
                <w:sz w:val="24"/>
                <w:szCs w:val="24"/>
              </w:rPr>
              <w:t>132,697</w:t>
            </w:r>
          </w:p>
        </w:tc>
        <w:tc>
          <w:tcPr>
            <w:tcW w:w="1584" w:type="dxa"/>
            <w:tcBorders>
              <w:top w:val="single" w:sz="18" w:space="0" w:color="auto"/>
              <w:bottom w:val="single" w:sz="18"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p>
        </w:tc>
        <w:tc>
          <w:tcPr>
            <w:tcW w:w="1584" w:type="dxa"/>
            <w:tcBorders>
              <w:top w:val="single" w:sz="18" w:space="0" w:color="auto"/>
              <w:bottom w:val="single" w:sz="18" w:space="0" w:color="auto"/>
            </w:tcBorders>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BA13B7">
              <w:rPr>
                <w:rFonts w:asciiTheme="minorHAnsi" w:hAnsiTheme="minorHAnsi"/>
                <w:b/>
                <w:sz w:val="24"/>
                <w:szCs w:val="24"/>
              </w:rPr>
              <w:t>1,060,021</w:t>
            </w:r>
          </w:p>
        </w:tc>
      </w:tr>
    </w:tbl>
    <w:p w:rsidR="004330E2" w:rsidRPr="00BA13B7" w:rsidRDefault="004330E2" w:rsidP="004330E2">
      <w:pPr>
        <w:pStyle w:val="BodyText"/>
        <w:spacing w:line="268" w:lineRule="exact"/>
        <w:ind w:right="614"/>
        <w:rPr>
          <w:rFonts w:asciiTheme="minorHAnsi" w:hAnsiTheme="minorHAnsi"/>
          <w:szCs w:val="24"/>
        </w:rPr>
      </w:pPr>
      <w:r w:rsidRPr="00BA13B7">
        <w:rPr>
          <w:rFonts w:asciiTheme="minorHAnsi" w:hAnsiTheme="minorHAnsi"/>
          <w:szCs w:val="24"/>
        </w:rPr>
        <w:t>Source – 2017 American Community Survey estimates</w:t>
      </w:r>
    </w:p>
    <w:p w:rsidR="004330E2" w:rsidRPr="00BA13B7" w:rsidRDefault="007501A3" w:rsidP="004330E2">
      <w:pPr>
        <w:rPr>
          <w:rFonts w:cs="Times New Roman"/>
          <w:sz w:val="24"/>
          <w:szCs w:val="24"/>
        </w:rPr>
      </w:pPr>
      <w:r w:rsidRPr="00317C07">
        <w:rPr>
          <w:rFonts w:cs="Times New Roman"/>
          <w:szCs w:val="24"/>
        </w:rPr>
        <w:t>Table 11</w:t>
      </w:r>
      <w:r w:rsidR="004330E2" w:rsidRPr="00317C07">
        <w:rPr>
          <w:rFonts w:cs="Times New Roman"/>
          <w:szCs w:val="24"/>
        </w:rPr>
        <w:t xml:space="preserve"> demonstrates that the 16 major cities served by the consortium have a population of 1.06 million residents. Of those 1.06 million residents, 18.3% of residents over the age of 5 Speak English </w:t>
      </w:r>
      <w:proofErr w:type="gramStart"/>
      <w:r w:rsidR="004330E2" w:rsidRPr="00317C07">
        <w:rPr>
          <w:rFonts w:cs="Times New Roman"/>
          <w:szCs w:val="24"/>
        </w:rPr>
        <w:t>Less</w:t>
      </w:r>
      <w:proofErr w:type="gramEnd"/>
      <w:r w:rsidR="004330E2" w:rsidRPr="00317C07">
        <w:rPr>
          <w:rFonts w:cs="Times New Roman"/>
          <w:szCs w:val="24"/>
        </w:rPr>
        <w:t xml:space="preserve"> Than “Very Well” and 12.5% of residents over the age of 25 do not have a high school diploma or equivalent.  </w:t>
      </w:r>
      <w:r w:rsidR="004330E2" w:rsidRPr="00BA13B7">
        <w:rPr>
          <w:rFonts w:cs="Times New Roman"/>
          <w:sz w:val="24"/>
          <w:szCs w:val="24"/>
        </w:rPr>
        <w:br w:type="page"/>
      </w:r>
    </w:p>
    <w:p w:rsidR="001D3CD4" w:rsidRPr="001D3CD4" w:rsidRDefault="001D3CD4" w:rsidP="001D3CD4">
      <w:bookmarkStart w:id="32" w:name="_Toc2599825"/>
      <w:r w:rsidRPr="00317C07">
        <w:rPr>
          <w:szCs w:val="24"/>
        </w:rPr>
        <w:lastRenderedPageBreak/>
        <w:t>Of the 16 major ci</w:t>
      </w:r>
      <w:r>
        <w:rPr>
          <w:szCs w:val="24"/>
        </w:rPr>
        <w:t>ties served by the consortium, 7</w:t>
      </w:r>
      <w:r w:rsidRPr="00317C07">
        <w:rPr>
          <w:szCs w:val="24"/>
        </w:rPr>
        <w:t xml:space="preserve"> of these cities would qualify as “primary” cities served by the members of the consortium. For the purpose of the Three-Year Plan, a “primary” city is one for which s</w:t>
      </w:r>
      <w:r>
        <w:rPr>
          <w:szCs w:val="24"/>
        </w:rPr>
        <w:t>tudents served is greater than 5</w:t>
      </w:r>
      <w:r w:rsidRPr="00317C07">
        <w:rPr>
          <w:szCs w:val="24"/>
        </w:rPr>
        <w:t>% of the total</w:t>
      </w:r>
      <w:r>
        <w:rPr>
          <w:szCs w:val="24"/>
        </w:rPr>
        <w:t xml:space="preserve"> student population</w:t>
      </w:r>
      <w:r w:rsidRPr="00317C07">
        <w:rPr>
          <w:szCs w:val="24"/>
        </w:rPr>
        <w:t>.</w:t>
      </w:r>
    </w:p>
    <w:p w:rsidR="004330E2" w:rsidRPr="00BA13B7" w:rsidRDefault="007501A3" w:rsidP="004330E2">
      <w:pPr>
        <w:pStyle w:val="Heading3"/>
        <w:spacing w:after="120"/>
        <w:rPr>
          <w:rFonts w:asciiTheme="minorHAnsi" w:hAnsiTheme="minorHAnsi" w:cs="Times New Roman"/>
        </w:rPr>
      </w:pPr>
      <w:bookmarkStart w:id="33" w:name="_Toc10804143"/>
      <w:r>
        <w:rPr>
          <w:rFonts w:asciiTheme="minorHAnsi" w:hAnsiTheme="minorHAnsi" w:cs="Times New Roman"/>
        </w:rPr>
        <w:t>Table 12</w:t>
      </w:r>
      <w:r w:rsidR="004330E2" w:rsidRPr="00BA13B7">
        <w:rPr>
          <w:rFonts w:asciiTheme="minorHAnsi" w:hAnsiTheme="minorHAnsi" w:cs="Times New Roman"/>
        </w:rPr>
        <w:t xml:space="preserve"> – Characteristics of </w:t>
      </w:r>
      <w:r w:rsidR="00317C07">
        <w:rPr>
          <w:rFonts w:asciiTheme="minorHAnsi" w:hAnsiTheme="minorHAnsi" w:cs="Times New Roman"/>
        </w:rPr>
        <w:t xml:space="preserve">the Seven </w:t>
      </w:r>
      <w:r w:rsidR="004330E2" w:rsidRPr="00BA13B7">
        <w:rPr>
          <w:rFonts w:asciiTheme="minorHAnsi" w:hAnsiTheme="minorHAnsi" w:cs="Times New Roman"/>
        </w:rPr>
        <w:t>Primary Cities Served by CCAEC</w:t>
      </w:r>
      <w:bookmarkEnd w:id="32"/>
      <w:bookmarkEnd w:id="33"/>
    </w:p>
    <w:tbl>
      <w:tblPr>
        <w:tblStyle w:val="MediumShading2-Accent5"/>
        <w:tblW w:w="0" w:type="auto"/>
        <w:tblLook w:val="04A0" w:firstRow="1" w:lastRow="0" w:firstColumn="1" w:lastColumn="0" w:noHBand="0" w:noVBand="1"/>
      </w:tblPr>
      <w:tblGrid>
        <w:gridCol w:w="1784"/>
        <w:gridCol w:w="1493"/>
        <w:gridCol w:w="1524"/>
        <w:gridCol w:w="1511"/>
        <w:gridCol w:w="1524"/>
        <w:gridCol w:w="1524"/>
      </w:tblGrid>
      <w:tr w:rsidR="004330E2" w:rsidRPr="00BA13B7" w:rsidTr="00317C07">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1784" w:type="dxa"/>
            <w:vAlign w:val="center"/>
          </w:tcPr>
          <w:p w:rsidR="004330E2" w:rsidRPr="00BA13B7" w:rsidRDefault="004330E2" w:rsidP="0080717A">
            <w:pPr>
              <w:jc w:val="center"/>
              <w:rPr>
                <w:rFonts w:asciiTheme="minorHAnsi" w:hAnsiTheme="minorHAnsi"/>
              </w:rPr>
            </w:pPr>
            <w:r w:rsidRPr="00BA13B7">
              <w:rPr>
                <w:rFonts w:asciiTheme="minorHAnsi" w:hAnsiTheme="minorHAnsi"/>
              </w:rPr>
              <w:t>City</w:t>
            </w:r>
          </w:p>
        </w:tc>
        <w:tc>
          <w:tcPr>
            <w:tcW w:w="1493" w:type="dxa"/>
            <w:vAlign w:val="center"/>
          </w:tcPr>
          <w:p w:rsidR="004330E2" w:rsidRPr="00BA13B7" w:rsidRDefault="004330E2" w:rsidP="008071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A13B7">
              <w:rPr>
                <w:rFonts w:asciiTheme="minorHAnsi" w:hAnsiTheme="minorHAnsi"/>
              </w:rPr>
              <w:t>5 Years &amp; Older Speaks English  &lt; “Very Well”</w:t>
            </w:r>
          </w:p>
        </w:tc>
        <w:tc>
          <w:tcPr>
            <w:tcW w:w="1524" w:type="dxa"/>
            <w:vAlign w:val="center"/>
          </w:tcPr>
          <w:p w:rsidR="004330E2" w:rsidRPr="00BA13B7" w:rsidRDefault="004330E2" w:rsidP="008071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A13B7">
              <w:rPr>
                <w:rFonts w:asciiTheme="minorHAnsi" w:hAnsiTheme="minorHAnsi"/>
              </w:rPr>
              <w:t>As % of City Population</w:t>
            </w:r>
          </w:p>
        </w:tc>
        <w:tc>
          <w:tcPr>
            <w:tcW w:w="1511" w:type="dxa"/>
            <w:vAlign w:val="center"/>
          </w:tcPr>
          <w:p w:rsidR="004330E2" w:rsidRPr="00BA13B7" w:rsidRDefault="004330E2" w:rsidP="008071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A13B7">
              <w:rPr>
                <w:rFonts w:asciiTheme="minorHAnsi" w:hAnsiTheme="minorHAnsi"/>
              </w:rPr>
              <w:t>Residents over 25 &amp; No HSD or HSE</w:t>
            </w:r>
          </w:p>
        </w:tc>
        <w:tc>
          <w:tcPr>
            <w:tcW w:w="1524" w:type="dxa"/>
            <w:vAlign w:val="center"/>
          </w:tcPr>
          <w:p w:rsidR="004330E2" w:rsidRPr="00BA13B7" w:rsidRDefault="004330E2" w:rsidP="008071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A13B7">
              <w:rPr>
                <w:rFonts w:asciiTheme="minorHAnsi" w:hAnsiTheme="minorHAnsi"/>
              </w:rPr>
              <w:t>As % of City Population</w:t>
            </w:r>
          </w:p>
        </w:tc>
        <w:tc>
          <w:tcPr>
            <w:tcW w:w="1524" w:type="dxa"/>
            <w:vAlign w:val="center"/>
          </w:tcPr>
          <w:p w:rsidR="004330E2" w:rsidRPr="00BA13B7" w:rsidRDefault="004330E2" w:rsidP="008071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A13B7">
              <w:rPr>
                <w:rFonts w:asciiTheme="minorHAnsi" w:hAnsiTheme="minorHAnsi"/>
              </w:rPr>
              <w:t>Total Population</w:t>
            </w:r>
          </w:p>
        </w:tc>
      </w:tr>
      <w:tr w:rsidR="004330E2" w:rsidRPr="00BA13B7" w:rsidTr="00317C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4"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Arcadia</w:t>
            </w:r>
          </w:p>
        </w:tc>
        <w:tc>
          <w:tcPr>
            <w:tcW w:w="1493"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16,926</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30.0%</w:t>
            </w:r>
          </w:p>
        </w:tc>
        <w:tc>
          <w:tcPr>
            <w:tcW w:w="1511"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3,396</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6.0%</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56,364</w:t>
            </w:r>
          </w:p>
        </w:tc>
      </w:tr>
      <w:tr w:rsidR="004330E2" w:rsidRPr="00BA13B7" w:rsidTr="00317C07">
        <w:trPr>
          <w:trHeight w:val="432"/>
        </w:trPr>
        <w:tc>
          <w:tcPr>
            <w:cnfStyle w:val="001000000000" w:firstRow="0" w:lastRow="0" w:firstColumn="1" w:lastColumn="0" w:oddVBand="0" w:evenVBand="0" w:oddHBand="0" w:evenHBand="0" w:firstRowFirstColumn="0" w:firstRowLastColumn="0" w:lastRowFirstColumn="0" w:lastRowLastColumn="0"/>
            <w:tcW w:w="1784"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Azusa</w:t>
            </w:r>
          </w:p>
        </w:tc>
        <w:tc>
          <w:tcPr>
            <w:tcW w:w="1493"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9,258</w:t>
            </w:r>
          </w:p>
        </w:tc>
        <w:tc>
          <w:tcPr>
            <w:tcW w:w="152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20.0%</w:t>
            </w:r>
          </w:p>
        </w:tc>
        <w:tc>
          <w:tcPr>
            <w:tcW w:w="1511"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6,094</w:t>
            </w:r>
          </w:p>
        </w:tc>
        <w:tc>
          <w:tcPr>
            <w:tcW w:w="152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13.1%</w:t>
            </w:r>
          </w:p>
        </w:tc>
        <w:tc>
          <w:tcPr>
            <w:tcW w:w="152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46,361</w:t>
            </w:r>
          </w:p>
        </w:tc>
      </w:tr>
      <w:tr w:rsidR="004330E2" w:rsidRPr="00BA13B7" w:rsidTr="00317C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4"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Claremont</w:t>
            </w:r>
          </w:p>
        </w:tc>
        <w:tc>
          <w:tcPr>
            <w:tcW w:w="1493"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2,563</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7.3%</w:t>
            </w:r>
          </w:p>
        </w:tc>
        <w:tc>
          <w:tcPr>
            <w:tcW w:w="1511"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1,344</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3.8%</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34,926</w:t>
            </w:r>
          </w:p>
        </w:tc>
      </w:tr>
      <w:tr w:rsidR="004330E2" w:rsidRPr="00BA13B7" w:rsidTr="00317C07">
        <w:trPr>
          <w:trHeight w:val="432"/>
        </w:trPr>
        <w:tc>
          <w:tcPr>
            <w:cnfStyle w:val="001000000000" w:firstRow="0" w:lastRow="0" w:firstColumn="1" w:lastColumn="0" w:oddVBand="0" w:evenVBand="0" w:oddHBand="0" w:evenHBand="0" w:firstRowFirstColumn="0" w:firstRowLastColumn="0" w:lastRowFirstColumn="0" w:lastRowLastColumn="0"/>
            <w:tcW w:w="1784"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Covina</w:t>
            </w:r>
          </w:p>
        </w:tc>
        <w:tc>
          <w:tcPr>
            <w:tcW w:w="1493"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6,013</w:t>
            </w:r>
          </w:p>
        </w:tc>
        <w:tc>
          <w:tcPr>
            <w:tcW w:w="152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12.6%</w:t>
            </w:r>
          </w:p>
        </w:tc>
        <w:tc>
          <w:tcPr>
            <w:tcW w:w="1511"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4,476</w:t>
            </w:r>
          </w:p>
        </w:tc>
        <w:tc>
          <w:tcPr>
            <w:tcW w:w="152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9.4%</w:t>
            </w:r>
          </w:p>
        </w:tc>
        <w:tc>
          <w:tcPr>
            <w:tcW w:w="152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47,796</w:t>
            </w:r>
          </w:p>
        </w:tc>
      </w:tr>
      <w:tr w:rsidR="004330E2" w:rsidRPr="00BA13B7" w:rsidTr="00317C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4"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Duarte</w:t>
            </w:r>
          </w:p>
        </w:tc>
        <w:tc>
          <w:tcPr>
            <w:tcW w:w="1493"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4,801</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22.5%</w:t>
            </w:r>
          </w:p>
        </w:tc>
        <w:tc>
          <w:tcPr>
            <w:tcW w:w="1511"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2,582</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12.1%</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21,321</w:t>
            </w:r>
          </w:p>
        </w:tc>
      </w:tr>
      <w:tr w:rsidR="004330E2" w:rsidRPr="00BA13B7" w:rsidTr="00317C07">
        <w:trPr>
          <w:trHeight w:val="432"/>
        </w:trPr>
        <w:tc>
          <w:tcPr>
            <w:cnfStyle w:val="001000000000" w:firstRow="0" w:lastRow="0" w:firstColumn="1" w:lastColumn="0" w:oddVBand="0" w:evenVBand="0" w:oddHBand="0" w:evenHBand="0" w:firstRowFirstColumn="0" w:firstRowLastColumn="0" w:lastRowFirstColumn="0" w:lastRowLastColumn="0"/>
            <w:tcW w:w="1784"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Glendora</w:t>
            </w:r>
          </w:p>
        </w:tc>
        <w:tc>
          <w:tcPr>
            <w:tcW w:w="1493"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4,372</w:t>
            </w:r>
          </w:p>
        </w:tc>
        <w:tc>
          <w:tcPr>
            <w:tcW w:w="152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8.7%</w:t>
            </w:r>
          </w:p>
        </w:tc>
        <w:tc>
          <w:tcPr>
            <w:tcW w:w="1511"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3,576</w:t>
            </w:r>
          </w:p>
        </w:tc>
        <w:tc>
          <w:tcPr>
            <w:tcW w:w="152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7.1%</w:t>
            </w:r>
          </w:p>
        </w:tc>
        <w:tc>
          <w:tcPr>
            <w:tcW w:w="1524" w:type="dxa"/>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50,073</w:t>
            </w:r>
          </w:p>
        </w:tc>
      </w:tr>
      <w:tr w:rsidR="004330E2" w:rsidRPr="00BA13B7" w:rsidTr="00317C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4" w:type="dxa"/>
            <w:vAlign w:val="center"/>
          </w:tcPr>
          <w:p w:rsidR="004330E2" w:rsidRPr="00BA13B7" w:rsidRDefault="004330E2" w:rsidP="0080717A">
            <w:pPr>
              <w:rPr>
                <w:rFonts w:asciiTheme="minorHAnsi" w:hAnsiTheme="minorHAnsi"/>
                <w:sz w:val="24"/>
                <w:szCs w:val="24"/>
              </w:rPr>
            </w:pPr>
            <w:r w:rsidRPr="00BA13B7">
              <w:rPr>
                <w:rFonts w:asciiTheme="minorHAnsi" w:hAnsiTheme="minorHAnsi"/>
                <w:sz w:val="24"/>
                <w:szCs w:val="24"/>
              </w:rPr>
              <w:t>Monrovia</w:t>
            </w:r>
          </w:p>
        </w:tc>
        <w:tc>
          <w:tcPr>
            <w:tcW w:w="1493"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5,197</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14.2%</w:t>
            </w:r>
          </w:p>
        </w:tc>
        <w:tc>
          <w:tcPr>
            <w:tcW w:w="1511"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2,999</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8.2%</w:t>
            </w:r>
          </w:p>
        </w:tc>
        <w:tc>
          <w:tcPr>
            <w:tcW w:w="1524" w:type="dxa"/>
            <w:vAlign w:val="center"/>
          </w:tcPr>
          <w:p w:rsidR="004330E2" w:rsidRPr="00BA13B7" w:rsidRDefault="004330E2" w:rsidP="0080717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A13B7">
              <w:rPr>
                <w:rFonts w:asciiTheme="minorHAnsi" w:hAnsiTheme="minorHAnsi"/>
                <w:sz w:val="24"/>
                <w:szCs w:val="24"/>
              </w:rPr>
              <w:t>36,590</w:t>
            </w:r>
          </w:p>
        </w:tc>
      </w:tr>
      <w:tr w:rsidR="004330E2" w:rsidRPr="00BA13B7" w:rsidTr="00317C07">
        <w:trPr>
          <w:trHeight w:val="432"/>
        </w:trPr>
        <w:tc>
          <w:tcPr>
            <w:cnfStyle w:val="001000000000" w:firstRow="0" w:lastRow="0" w:firstColumn="1" w:lastColumn="0" w:oddVBand="0" w:evenVBand="0" w:oddHBand="0" w:evenHBand="0" w:firstRowFirstColumn="0" w:firstRowLastColumn="0" w:lastRowFirstColumn="0" w:lastRowLastColumn="0"/>
            <w:tcW w:w="1784" w:type="dxa"/>
            <w:tcBorders>
              <w:top w:val="single" w:sz="18" w:space="0" w:color="auto"/>
            </w:tcBorders>
            <w:vAlign w:val="center"/>
          </w:tcPr>
          <w:p w:rsidR="004330E2" w:rsidRPr="00BA13B7" w:rsidRDefault="004330E2" w:rsidP="0080717A">
            <w:pPr>
              <w:jc w:val="center"/>
              <w:rPr>
                <w:rFonts w:asciiTheme="minorHAnsi" w:hAnsiTheme="minorHAnsi"/>
                <w:sz w:val="24"/>
                <w:szCs w:val="24"/>
              </w:rPr>
            </w:pPr>
            <w:r w:rsidRPr="00BA13B7">
              <w:rPr>
                <w:rFonts w:asciiTheme="minorHAnsi" w:hAnsiTheme="minorHAnsi"/>
                <w:sz w:val="24"/>
                <w:szCs w:val="24"/>
              </w:rPr>
              <w:t>TOTAL</w:t>
            </w:r>
          </w:p>
        </w:tc>
        <w:tc>
          <w:tcPr>
            <w:tcW w:w="1493" w:type="dxa"/>
            <w:tcBorders>
              <w:top w:val="single" w:sz="18" w:space="0" w:color="auto"/>
              <w:bottom w:val="single" w:sz="18" w:space="0" w:color="auto"/>
            </w:tcBorders>
            <w:vAlign w:val="center"/>
          </w:tcPr>
          <w:p w:rsidR="004330E2" w:rsidRPr="00BA13B7" w:rsidRDefault="00317C07"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Pr>
                <w:rFonts w:asciiTheme="minorHAnsi" w:hAnsiTheme="minorHAnsi"/>
                <w:b/>
                <w:sz w:val="24"/>
              </w:rPr>
              <w:t>49,130</w:t>
            </w:r>
          </w:p>
        </w:tc>
        <w:tc>
          <w:tcPr>
            <w:tcW w:w="1524" w:type="dxa"/>
            <w:tcBorders>
              <w:top w:val="single" w:sz="18" w:space="0" w:color="auto"/>
              <w:bottom w:val="single" w:sz="18"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p>
        </w:tc>
        <w:tc>
          <w:tcPr>
            <w:tcW w:w="1511" w:type="dxa"/>
            <w:tcBorders>
              <w:top w:val="single" w:sz="18" w:space="0" w:color="auto"/>
              <w:bottom w:val="single" w:sz="18" w:space="0" w:color="auto"/>
            </w:tcBorders>
            <w:vAlign w:val="center"/>
          </w:tcPr>
          <w:p w:rsidR="004330E2" w:rsidRPr="00BA13B7" w:rsidRDefault="00317C07"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Pr>
                <w:rFonts w:asciiTheme="minorHAnsi" w:hAnsiTheme="minorHAnsi"/>
                <w:b/>
                <w:sz w:val="24"/>
              </w:rPr>
              <w:t>24,467</w:t>
            </w:r>
          </w:p>
        </w:tc>
        <w:tc>
          <w:tcPr>
            <w:tcW w:w="1524" w:type="dxa"/>
            <w:tcBorders>
              <w:top w:val="single" w:sz="18" w:space="0" w:color="auto"/>
              <w:bottom w:val="single" w:sz="18" w:space="0" w:color="auto"/>
            </w:tcBorders>
            <w:vAlign w:val="center"/>
          </w:tcPr>
          <w:p w:rsidR="004330E2" w:rsidRPr="00BA13B7" w:rsidRDefault="004330E2"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p>
        </w:tc>
        <w:tc>
          <w:tcPr>
            <w:tcW w:w="1524" w:type="dxa"/>
            <w:tcBorders>
              <w:top w:val="single" w:sz="18" w:space="0" w:color="auto"/>
              <w:bottom w:val="single" w:sz="18" w:space="0" w:color="auto"/>
            </w:tcBorders>
            <w:vAlign w:val="center"/>
          </w:tcPr>
          <w:p w:rsidR="004330E2" w:rsidRPr="00BA13B7" w:rsidRDefault="00317C07" w:rsidP="0080717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Pr>
                <w:rFonts w:asciiTheme="minorHAnsi" w:hAnsiTheme="minorHAnsi"/>
                <w:b/>
                <w:sz w:val="24"/>
              </w:rPr>
              <w:t>293,341</w:t>
            </w:r>
          </w:p>
        </w:tc>
      </w:tr>
    </w:tbl>
    <w:p w:rsidR="004330E2" w:rsidRPr="00BA13B7" w:rsidRDefault="004330E2" w:rsidP="004330E2">
      <w:pPr>
        <w:rPr>
          <w:sz w:val="24"/>
          <w:szCs w:val="24"/>
        </w:rPr>
      </w:pPr>
      <w:r w:rsidRPr="00BA13B7">
        <w:rPr>
          <w:szCs w:val="24"/>
        </w:rPr>
        <w:t>Source – 2017 American Community Survey estimates</w:t>
      </w:r>
    </w:p>
    <w:p w:rsidR="004330E2" w:rsidRPr="00317C07" w:rsidRDefault="004330E2" w:rsidP="004330E2">
      <w:pPr>
        <w:rPr>
          <w:szCs w:val="24"/>
        </w:rPr>
      </w:pPr>
      <w:r w:rsidRPr="00317C07">
        <w:rPr>
          <w:szCs w:val="24"/>
        </w:rPr>
        <w:t xml:space="preserve">The population of the </w:t>
      </w:r>
      <w:r w:rsidR="00317C07">
        <w:rPr>
          <w:szCs w:val="24"/>
        </w:rPr>
        <w:t xml:space="preserve">seven </w:t>
      </w:r>
      <w:r w:rsidRPr="00317C07">
        <w:rPr>
          <w:szCs w:val="24"/>
        </w:rPr>
        <w:t xml:space="preserve">primary cities served by the CCAEC is </w:t>
      </w:r>
      <w:r w:rsidR="00317C07">
        <w:rPr>
          <w:szCs w:val="24"/>
        </w:rPr>
        <w:t>293,341 and 16</w:t>
      </w:r>
      <w:r w:rsidRPr="00317C07">
        <w:rPr>
          <w:szCs w:val="24"/>
        </w:rPr>
        <w:t>.</w:t>
      </w:r>
      <w:r w:rsidR="00317C07">
        <w:rPr>
          <w:szCs w:val="24"/>
        </w:rPr>
        <w:t>7</w:t>
      </w:r>
      <w:r w:rsidRPr="00317C07">
        <w:rPr>
          <w:szCs w:val="24"/>
        </w:rPr>
        <w:t xml:space="preserve">% of that population </w:t>
      </w:r>
      <w:r w:rsidR="00317C07">
        <w:rPr>
          <w:szCs w:val="24"/>
        </w:rPr>
        <w:t xml:space="preserve">over the age of 5 </w:t>
      </w:r>
      <w:r w:rsidRPr="00317C07">
        <w:rPr>
          <w:szCs w:val="24"/>
        </w:rPr>
        <w:t>Speak English Less Than</w:t>
      </w:r>
      <w:r w:rsidR="00317C07">
        <w:rPr>
          <w:szCs w:val="24"/>
        </w:rPr>
        <w:t xml:space="preserve"> “Very Well” and 8.3</w:t>
      </w:r>
      <w:r w:rsidRPr="00317C07">
        <w:rPr>
          <w:szCs w:val="24"/>
        </w:rPr>
        <w:t>% of residents over the age of 25 do not have a high school diploma or equivalent.</w:t>
      </w:r>
    </w:p>
    <w:p w:rsidR="00C64CE0" w:rsidRPr="004E305C" w:rsidRDefault="00C64CE0" w:rsidP="00C64CE0">
      <w:pPr>
        <w:pStyle w:val="Heading3"/>
        <w:rPr>
          <w:rFonts w:asciiTheme="minorHAnsi" w:hAnsiTheme="minorHAnsi"/>
          <w:color w:val="0070C0"/>
          <w:szCs w:val="26"/>
        </w:rPr>
      </w:pPr>
      <w:bookmarkStart w:id="34" w:name="_Toc9257380"/>
      <w:bookmarkStart w:id="35" w:name="_Toc10804144"/>
      <w:r w:rsidRPr="004E305C">
        <w:rPr>
          <w:rFonts w:asciiTheme="minorHAnsi" w:hAnsiTheme="minorHAnsi"/>
          <w:color w:val="0070C0"/>
          <w:szCs w:val="26"/>
        </w:rPr>
        <w:t>Description of the Regional Job Market</w:t>
      </w:r>
      <w:bookmarkEnd w:id="34"/>
      <w:bookmarkEnd w:id="35"/>
    </w:p>
    <w:p w:rsidR="00C64CE0" w:rsidRDefault="00C64CE0" w:rsidP="00C64CE0">
      <w:r>
        <w:t>To better understand the region’s job market, the process of creating a robust, sustainable CCAEC Regional Employment</w:t>
      </w:r>
      <w:r w:rsidRPr="009243BC">
        <w:t xml:space="preserve"> </w:t>
      </w:r>
      <w:r>
        <w:t>Training Plan (RETP) began with analysis of the 2019 San Gabriel Valley Economic Partnership (SGVEP) Economic Forecast and EDD’s Labor Market Info Division (LMID).</w:t>
      </w:r>
    </w:p>
    <w:p w:rsidR="00C64CE0" w:rsidRDefault="00C73978" w:rsidP="00C64CE0">
      <w:pPr>
        <w:rPr>
          <w:rFonts w:cs="Times New Roman"/>
        </w:rPr>
      </w:pPr>
      <w:r>
        <w:rPr>
          <w:rFonts w:cs="Times New Roman"/>
        </w:rPr>
        <w:t xml:space="preserve">For quite some time, Health Care has by far been the largest employment sector in the San Gabriel Valley. In 2018 just over 100,000 individuals were employed in the industry. </w:t>
      </w:r>
      <w:r w:rsidR="00C64CE0">
        <w:rPr>
          <w:rFonts w:cs="Times New Roman"/>
        </w:rPr>
        <w:t>Patient Care / Health Care is an important industry for job growth for the region served by CCAEC.  As noted in the SGVEP Forecast (pg. 25):</w:t>
      </w:r>
    </w:p>
    <w:p w:rsidR="00C64CE0" w:rsidRPr="0063709E" w:rsidRDefault="00C64CE0" w:rsidP="00C64CE0">
      <w:pPr>
        <w:ind w:left="720"/>
      </w:pPr>
      <w:r w:rsidRPr="0063709E">
        <w:t>Employment is expected to increase this year and again in 2020. This trend is being driven by demographics (population growth, an aging population, retiring baby boomers, and increased life expectancy), employment growth (health care is a consumer good), and healthcare reform, which has expanded the number of individuals with access to health insurance coverage.</w:t>
      </w:r>
    </w:p>
    <w:p w:rsidR="00C64CE0" w:rsidRDefault="00C64CE0" w:rsidP="00C64CE0">
      <w:r>
        <w:t>LMID data revealed that from 2017-2027 the region will add 32,675 Medical Assistant (MA) positions, 27,869 Home Care Aides (HCA), and 50,746 Certified Nursing Assistants (CNA). While data shows that HCA and CNA positions offer wages that are less than the California Self-sufficiency Wage, consortium members have seen upward pressure on wages for students in starting positions.</w:t>
      </w:r>
    </w:p>
    <w:p w:rsidR="00C64CE0" w:rsidRDefault="00C64CE0" w:rsidP="00C64CE0">
      <w:pPr>
        <w:spacing w:after="0"/>
      </w:pPr>
    </w:p>
    <w:p w:rsidR="00C64CE0" w:rsidRDefault="00C64CE0" w:rsidP="00C64CE0">
      <w:r>
        <w:t>Due to this data, the CCAEC RETP will continue to focus on short-term Health Care programs as mentioned above.</w:t>
      </w:r>
    </w:p>
    <w:p w:rsidR="00890BD5" w:rsidRDefault="00890BD5" w:rsidP="00C64CE0">
      <w:r>
        <w:t xml:space="preserve">Additional LMID data has informed the continuation of existing </w:t>
      </w:r>
      <w:r w:rsidR="000B1C48">
        <w:t xml:space="preserve">CTE programs </w:t>
      </w:r>
      <w:r>
        <w:t xml:space="preserve">or creation of new </w:t>
      </w:r>
      <w:r w:rsidR="000B1C48">
        <w:t>ones</w:t>
      </w:r>
      <w:r>
        <w:t xml:space="preserve"> in high growth sectors such as construction, transportation, logistics, and security. These programs will be approached from a regional point of view through the CCAEC RETP.</w:t>
      </w:r>
    </w:p>
    <w:p w:rsidR="001D5420" w:rsidRPr="004E305C" w:rsidRDefault="001D5420" w:rsidP="001D5420">
      <w:pPr>
        <w:pStyle w:val="Heading3"/>
        <w:rPr>
          <w:color w:val="0070C0"/>
        </w:rPr>
      </w:pPr>
      <w:bookmarkStart w:id="36" w:name="_Toc10804145"/>
      <w:r w:rsidRPr="004E305C">
        <w:rPr>
          <w:color w:val="0070C0"/>
        </w:rPr>
        <w:t>Alignment between Needs and Current Levels</w:t>
      </w:r>
      <w:bookmarkEnd w:id="36"/>
    </w:p>
    <w:p w:rsidR="003824F4" w:rsidRDefault="003824F4" w:rsidP="00CA3D26">
      <w:pPr>
        <w:spacing w:before="120" w:after="120"/>
        <w:rPr>
          <w:rFonts w:cs="Times New Roman"/>
        </w:rPr>
      </w:pPr>
      <w:r>
        <w:rPr>
          <w:rFonts w:cs="Times New Roman"/>
        </w:rPr>
        <w:t xml:space="preserve">One simple, perhaps less refined way of evaluating </w:t>
      </w:r>
      <w:r w:rsidR="007501A3">
        <w:rPr>
          <w:rFonts w:cs="Times New Roman"/>
        </w:rPr>
        <w:t xml:space="preserve">needs and </w:t>
      </w:r>
      <w:r>
        <w:rPr>
          <w:rFonts w:cs="Times New Roman"/>
        </w:rPr>
        <w:t xml:space="preserve">levels of educational services provided by the consortium is to compare number of CCAEC students served to regional population characteristics that demonstrate the need for the services. As </w:t>
      </w:r>
      <w:r w:rsidR="007501A3">
        <w:rPr>
          <w:rFonts w:cs="Times New Roman"/>
        </w:rPr>
        <w:t xml:space="preserve">was </w:t>
      </w:r>
      <w:r>
        <w:rPr>
          <w:rFonts w:cs="Times New Roman"/>
        </w:rPr>
        <w:t xml:space="preserve">discussed </w:t>
      </w:r>
      <w:r w:rsidR="007501A3">
        <w:rPr>
          <w:rFonts w:cs="Times New Roman"/>
        </w:rPr>
        <w:t xml:space="preserve">earlier </w:t>
      </w:r>
      <w:r>
        <w:rPr>
          <w:rFonts w:cs="Times New Roman"/>
        </w:rPr>
        <w:t xml:space="preserve">in section 2.3, the consortium primarily serves residents in </w:t>
      </w:r>
      <w:r w:rsidR="000B1C48">
        <w:rPr>
          <w:rFonts w:cs="Times New Roman"/>
        </w:rPr>
        <w:t>seven</w:t>
      </w:r>
      <w:r>
        <w:rPr>
          <w:rFonts w:cs="Times New Roman"/>
        </w:rPr>
        <w:t xml:space="preserve"> San</w:t>
      </w:r>
      <w:r w:rsidR="00CA3D26">
        <w:rPr>
          <w:rFonts w:cs="Times New Roman"/>
        </w:rPr>
        <w:t xml:space="preserve"> Gabriel cities. Table 13</w:t>
      </w:r>
      <w:r>
        <w:rPr>
          <w:rFonts w:cs="Times New Roman"/>
        </w:rPr>
        <w:t xml:space="preserve"> shows the number of students served by CAEP program compared to the population of those </w:t>
      </w:r>
      <w:r w:rsidR="000B1C48">
        <w:rPr>
          <w:rFonts w:cs="Times New Roman"/>
        </w:rPr>
        <w:t>seven</w:t>
      </w:r>
      <w:r>
        <w:rPr>
          <w:rFonts w:cs="Times New Roman"/>
        </w:rPr>
        <w:t xml:space="preserve"> primary cities in terms of English speaking and attainment of high school dipl</w:t>
      </w:r>
      <w:bookmarkStart w:id="37" w:name="_Toc2599827"/>
      <w:r w:rsidR="00CA3D26">
        <w:rPr>
          <w:rFonts w:cs="Times New Roman"/>
        </w:rPr>
        <w:t xml:space="preserve">oma / high school equivalency. </w:t>
      </w:r>
    </w:p>
    <w:p w:rsidR="003824F4" w:rsidRPr="0019485C" w:rsidRDefault="007501A3" w:rsidP="003824F4">
      <w:pPr>
        <w:pStyle w:val="Heading3"/>
        <w:spacing w:after="120"/>
        <w:rPr>
          <w:rFonts w:asciiTheme="minorHAnsi" w:hAnsiTheme="minorHAnsi" w:cs="Times New Roman"/>
          <w:color w:val="2E74B5" w:themeColor="accent1" w:themeShade="BF"/>
        </w:rPr>
      </w:pPr>
      <w:bookmarkStart w:id="38" w:name="_Toc10804146"/>
      <w:r>
        <w:rPr>
          <w:rFonts w:asciiTheme="minorHAnsi" w:hAnsiTheme="minorHAnsi" w:cs="Times New Roman"/>
          <w:color w:val="2E74B5" w:themeColor="accent1" w:themeShade="BF"/>
        </w:rPr>
        <w:t>Table 13</w:t>
      </w:r>
      <w:r w:rsidR="008131BE">
        <w:rPr>
          <w:rFonts w:asciiTheme="minorHAnsi" w:hAnsiTheme="minorHAnsi" w:cs="Times New Roman"/>
          <w:color w:val="2E74B5" w:themeColor="accent1" w:themeShade="BF"/>
        </w:rPr>
        <w:t xml:space="preserve"> – 2017-18 Percent of 7</w:t>
      </w:r>
      <w:r w:rsidR="003824F4" w:rsidRPr="0019485C">
        <w:rPr>
          <w:rFonts w:asciiTheme="minorHAnsi" w:hAnsiTheme="minorHAnsi" w:cs="Times New Roman"/>
          <w:color w:val="2E74B5" w:themeColor="accent1" w:themeShade="BF"/>
        </w:rPr>
        <w:t xml:space="preserve"> Primary City Needs Met by CCAEC Members (AEP Outcomes)</w:t>
      </w:r>
      <w:bookmarkEnd w:id="37"/>
      <w:bookmarkEnd w:id="38"/>
    </w:p>
    <w:tbl>
      <w:tblPr>
        <w:tblW w:w="9451" w:type="dxa"/>
        <w:tblInd w:w="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60"/>
        <w:gridCol w:w="1296"/>
        <w:gridCol w:w="1511"/>
        <w:gridCol w:w="1152"/>
        <w:gridCol w:w="1440"/>
        <w:gridCol w:w="1440"/>
        <w:gridCol w:w="1152"/>
      </w:tblGrid>
      <w:tr w:rsidR="003824F4" w:rsidRPr="0019485C" w:rsidTr="000B1C48">
        <w:trPr>
          <w:trHeight w:val="945"/>
        </w:trPr>
        <w:tc>
          <w:tcPr>
            <w:tcW w:w="1460" w:type="dxa"/>
            <w:tcBorders>
              <w:top w:val="single" w:sz="4" w:space="0" w:color="auto"/>
              <w:bottom w:val="nil"/>
              <w:right w:val="nil"/>
            </w:tcBorders>
            <w:shd w:val="clear" w:color="auto" w:fill="A8D08D" w:themeFill="accent6" w:themeFillTint="99"/>
            <w:vAlign w:val="center"/>
            <w:hideMark/>
          </w:tcPr>
          <w:p w:rsidR="003824F4" w:rsidRPr="0019485C" w:rsidRDefault="003824F4" w:rsidP="00053E8E">
            <w:pPr>
              <w:jc w:val="center"/>
              <w:rPr>
                <w:szCs w:val="24"/>
              </w:rPr>
            </w:pPr>
            <w:r w:rsidRPr="0019485C">
              <w:rPr>
                <w:szCs w:val="24"/>
              </w:rPr>
              <w:t>City</w:t>
            </w:r>
          </w:p>
        </w:tc>
        <w:tc>
          <w:tcPr>
            <w:tcW w:w="1296" w:type="dxa"/>
            <w:tcBorders>
              <w:top w:val="single" w:sz="4" w:space="0" w:color="auto"/>
              <w:left w:val="nil"/>
              <w:bottom w:val="nil"/>
              <w:right w:val="nil"/>
            </w:tcBorders>
            <w:shd w:val="clear" w:color="auto" w:fill="A8D08D" w:themeFill="accent6" w:themeFillTint="99"/>
            <w:vAlign w:val="center"/>
            <w:hideMark/>
          </w:tcPr>
          <w:p w:rsidR="003824F4" w:rsidRPr="0019485C" w:rsidRDefault="003824F4" w:rsidP="00053E8E">
            <w:pPr>
              <w:jc w:val="center"/>
              <w:rPr>
                <w:szCs w:val="24"/>
              </w:rPr>
            </w:pPr>
            <w:r w:rsidRPr="0019485C">
              <w:rPr>
                <w:szCs w:val="24"/>
              </w:rPr>
              <w:t>Total ESL/ABE Students Served by CCAEC</w:t>
            </w:r>
          </w:p>
        </w:tc>
        <w:tc>
          <w:tcPr>
            <w:tcW w:w="1511" w:type="dxa"/>
            <w:tcBorders>
              <w:top w:val="single" w:sz="4" w:space="0" w:color="auto"/>
              <w:left w:val="nil"/>
              <w:bottom w:val="nil"/>
              <w:right w:val="nil"/>
            </w:tcBorders>
            <w:shd w:val="clear" w:color="auto" w:fill="A8D08D" w:themeFill="accent6" w:themeFillTint="99"/>
            <w:vAlign w:val="center"/>
            <w:hideMark/>
          </w:tcPr>
          <w:p w:rsidR="003824F4" w:rsidRPr="0019485C" w:rsidRDefault="003824F4" w:rsidP="00053E8E">
            <w:pPr>
              <w:spacing w:after="0"/>
              <w:jc w:val="center"/>
              <w:rPr>
                <w:szCs w:val="24"/>
              </w:rPr>
            </w:pPr>
            <w:r w:rsidRPr="0019485C">
              <w:rPr>
                <w:szCs w:val="24"/>
              </w:rPr>
              <w:t>Over 25 that Speaks English  &lt; “Very Well”</w:t>
            </w:r>
          </w:p>
          <w:p w:rsidR="003824F4" w:rsidRPr="0019485C" w:rsidRDefault="003824F4" w:rsidP="00053E8E">
            <w:pPr>
              <w:jc w:val="center"/>
              <w:rPr>
                <w:szCs w:val="24"/>
              </w:rPr>
            </w:pPr>
            <w:r w:rsidRPr="0019485C">
              <w:rPr>
                <w:szCs w:val="24"/>
              </w:rPr>
              <w:t>(Approximate)</w:t>
            </w:r>
          </w:p>
        </w:tc>
        <w:tc>
          <w:tcPr>
            <w:tcW w:w="1152" w:type="dxa"/>
            <w:tcBorders>
              <w:top w:val="single" w:sz="4" w:space="0" w:color="auto"/>
              <w:left w:val="nil"/>
              <w:bottom w:val="nil"/>
              <w:right w:val="nil"/>
            </w:tcBorders>
            <w:shd w:val="clear" w:color="auto" w:fill="A8D08D" w:themeFill="accent6" w:themeFillTint="99"/>
            <w:vAlign w:val="center"/>
            <w:hideMark/>
          </w:tcPr>
          <w:p w:rsidR="003824F4" w:rsidRPr="0019485C" w:rsidRDefault="003824F4" w:rsidP="00053E8E">
            <w:pPr>
              <w:jc w:val="center"/>
              <w:rPr>
                <w:szCs w:val="24"/>
              </w:rPr>
            </w:pPr>
            <w:r w:rsidRPr="0019485C">
              <w:rPr>
                <w:szCs w:val="24"/>
              </w:rPr>
              <w:t>% of Regional Needs Met</w:t>
            </w:r>
          </w:p>
        </w:tc>
        <w:tc>
          <w:tcPr>
            <w:tcW w:w="1440" w:type="dxa"/>
            <w:tcBorders>
              <w:top w:val="single" w:sz="4" w:space="0" w:color="auto"/>
              <w:left w:val="nil"/>
              <w:bottom w:val="nil"/>
              <w:right w:val="nil"/>
            </w:tcBorders>
            <w:shd w:val="clear" w:color="auto" w:fill="A8D08D" w:themeFill="accent6" w:themeFillTint="99"/>
            <w:vAlign w:val="center"/>
            <w:hideMark/>
          </w:tcPr>
          <w:p w:rsidR="003824F4" w:rsidRPr="0019485C" w:rsidRDefault="003824F4" w:rsidP="00053E8E">
            <w:pPr>
              <w:jc w:val="center"/>
              <w:rPr>
                <w:szCs w:val="24"/>
              </w:rPr>
            </w:pPr>
            <w:r w:rsidRPr="0019485C">
              <w:rPr>
                <w:szCs w:val="24"/>
              </w:rPr>
              <w:t>Total HSD/HSE Students Served by CCAEC</w:t>
            </w:r>
          </w:p>
        </w:tc>
        <w:tc>
          <w:tcPr>
            <w:tcW w:w="1440" w:type="dxa"/>
            <w:tcBorders>
              <w:top w:val="single" w:sz="4" w:space="0" w:color="auto"/>
              <w:left w:val="nil"/>
              <w:bottom w:val="nil"/>
              <w:right w:val="nil"/>
            </w:tcBorders>
            <w:shd w:val="clear" w:color="auto" w:fill="A8D08D" w:themeFill="accent6" w:themeFillTint="99"/>
            <w:vAlign w:val="center"/>
            <w:hideMark/>
          </w:tcPr>
          <w:p w:rsidR="003824F4" w:rsidRPr="0019485C" w:rsidRDefault="003824F4" w:rsidP="00053E8E">
            <w:pPr>
              <w:jc w:val="center"/>
              <w:rPr>
                <w:szCs w:val="24"/>
              </w:rPr>
            </w:pPr>
            <w:r w:rsidRPr="0019485C">
              <w:rPr>
                <w:szCs w:val="24"/>
              </w:rPr>
              <w:t>Residents over 25 &amp; No HSD or HSE</w:t>
            </w:r>
          </w:p>
        </w:tc>
        <w:tc>
          <w:tcPr>
            <w:tcW w:w="1152" w:type="dxa"/>
            <w:tcBorders>
              <w:top w:val="single" w:sz="4" w:space="0" w:color="auto"/>
              <w:left w:val="nil"/>
              <w:bottom w:val="nil"/>
            </w:tcBorders>
            <w:shd w:val="clear" w:color="auto" w:fill="A8D08D" w:themeFill="accent6" w:themeFillTint="99"/>
            <w:vAlign w:val="center"/>
            <w:hideMark/>
          </w:tcPr>
          <w:p w:rsidR="003824F4" w:rsidRPr="0019485C" w:rsidRDefault="003824F4" w:rsidP="00053E8E">
            <w:pPr>
              <w:jc w:val="center"/>
              <w:rPr>
                <w:szCs w:val="24"/>
              </w:rPr>
            </w:pPr>
            <w:r w:rsidRPr="0019485C">
              <w:rPr>
                <w:szCs w:val="24"/>
              </w:rPr>
              <w:t>% of Regional Needs</w:t>
            </w:r>
          </w:p>
        </w:tc>
      </w:tr>
      <w:tr w:rsidR="003824F4" w:rsidRPr="0092228A" w:rsidTr="000B1C48">
        <w:trPr>
          <w:trHeight w:val="315"/>
        </w:trPr>
        <w:tc>
          <w:tcPr>
            <w:tcW w:w="1460" w:type="dxa"/>
            <w:tcBorders>
              <w:top w:val="nil"/>
              <w:left w:val="single" w:sz="6" w:space="0" w:color="auto"/>
              <w:bottom w:val="nil"/>
              <w:right w:val="nil"/>
            </w:tcBorders>
            <w:shd w:val="clear" w:color="auto" w:fill="CC99FF"/>
            <w:noWrap/>
            <w:vAlign w:val="bottom"/>
            <w:hideMark/>
          </w:tcPr>
          <w:p w:rsidR="003824F4" w:rsidRPr="0019485C" w:rsidRDefault="003824F4" w:rsidP="00053E8E">
            <w:pPr>
              <w:rPr>
                <w:color w:val="000000"/>
                <w:szCs w:val="24"/>
              </w:rPr>
            </w:pPr>
            <w:r w:rsidRPr="0019485C">
              <w:rPr>
                <w:color w:val="000000"/>
                <w:szCs w:val="24"/>
              </w:rPr>
              <w:t>Azusa</w:t>
            </w:r>
          </w:p>
        </w:tc>
        <w:tc>
          <w:tcPr>
            <w:tcW w:w="1296" w:type="dxa"/>
            <w:tcBorders>
              <w:top w:val="nil"/>
              <w:left w:val="nil"/>
              <w:bottom w:val="nil"/>
              <w:right w:val="nil"/>
            </w:tcBorders>
            <w:shd w:val="clear" w:color="auto" w:fill="D9D9D9" w:themeFill="background1" w:themeFillShade="D9"/>
            <w:noWrap/>
            <w:vAlign w:val="bottom"/>
            <w:hideMark/>
          </w:tcPr>
          <w:p w:rsidR="003824F4" w:rsidRPr="0019485C" w:rsidRDefault="003824F4" w:rsidP="00053E8E">
            <w:pPr>
              <w:jc w:val="right"/>
              <w:rPr>
                <w:color w:val="000000"/>
                <w:szCs w:val="24"/>
              </w:rPr>
            </w:pPr>
            <w:r w:rsidRPr="0019485C">
              <w:rPr>
                <w:color w:val="000000"/>
                <w:szCs w:val="24"/>
              </w:rPr>
              <w:t>595</w:t>
            </w:r>
          </w:p>
        </w:tc>
        <w:tc>
          <w:tcPr>
            <w:tcW w:w="1511" w:type="dxa"/>
            <w:tcBorders>
              <w:top w:val="nil"/>
              <w:left w:val="nil"/>
              <w:bottom w:val="nil"/>
              <w:right w:val="nil"/>
            </w:tcBorders>
            <w:shd w:val="clear" w:color="auto" w:fill="D9D9D9" w:themeFill="background1" w:themeFillShade="D9"/>
            <w:noWrap/>
            <w:vAlign w:val="bottom"/>
            <w:hideMark/>
          </w:tcPr>
          <w:p w:rsidR="003824F4" w:rsidRPr="0019485C" w:rsidRDefault="003824F4" w:rsidP="00053E8E">
            <w:pPr>
              <w:jc w:val="right"/>
              <w:rPr>
                <w:color w:val="000000"/>
                <w:szCs w:val="24"/>
              </w:rPr>
            </w:pPr>
          </w:p>
        </w:tc>
        <w:tc>
          <w:tcPr>
            <w:tcW w:w="1152" w:type="dxa"/>
            <w:tcBorders>
              <w:top w:val="nil"/>
              <w:left w:val="nil"/>
              <w:bottom w:val="nil"/>
              <w:right w:val="nil"/>
            </w:tcBorders>
            <w:shd w:val="clear" w:color="auto" w:fill="D9D9D9" w:themeFill="background1" w:themeFillShade="D9"/>
            <w:noWrap/>
            <w:vAlign w:val="bottom"/>
            <w:hideMark/>
          </w:tcPr>
          <w:p w:rsidR="003824F4" w:rsidRPr="0019485C" w:rsidRDefault="003824F4" w:rsidP="00053E8E"/>
        </w:tc>
        <w:tc>
          <w:tcPr>
            <w:tcW w:w="1440" w:type="dxa"/>
            <w:tcBorders>
              <w:top w:val="nil"/>
              <w:left w:val="nil"/>
              <w:bottom w:val="nil"/>
              <w:right w:val="nil"/>
            </w:tcBorders>
            <w:shd w:val="clear" w:color="auto" w:fill="D9D9D9" w:themeFill="background1" w:themeFillShade="D9"/>
            <w:noWrap/>
            <w:vAlign w:val="bottom"/>
            <w:hideMark/>
          </w:tcPr>
          <w:p w:rsidR="003824F4" w:rsidRPr="0019485C" w:rsidRDefault="003824F4" w:rsidP="00053E8E">
            <w:pPr>
              <w:jc w:val="right"/>
              <w:rPr>
                <w:color w:val="000000"/>
                <w:szCs w:val="24"/>
              </w:rPr>
            </w:pPr>
            <w:r w:rsidRPr="0019485C">
              <w:rPr>
                <w:color w:val="000000"/>
                <w:szCs w:val="24"/>
              </w:rPr>
              <w:t>190</w:t>
            </w:r>
          </w:p>
        </w:tc>
        <w:tc>
          <w:tcPr>
            <w:tcW w:w="1440" w:type="dxa"/>
            <w:tcBorders>
              <w:top w:val="nil"/>
              <w:left w:val="nil"/>
              <w:bottom w:val="nil"/>
              <w:right w:val="nil"/>
            </w:tcBorders>
            <w:shd w:val="clear" w:color="auto" w:fill="D9D9D9" w:themeFill="background1" w:themeFillShade="D9"/>
            <w:noWrap/>
            <w:vAlign w:val="bottom"/>
            <w:hideMark/>
          </w:tcPr>
          <w:p w:rsidR="003824F4" w:rsidRPr="0019485C" w:rsidRDefault="003824F4" w:rsidP="00053E8E">
            <w:pPr>
              <w:jc w:val="right"/>
              <w:rPr>
                <w:color w:val="000000"/>
                <w:szCs w:val="24"/>
              </w:rPr>
            </w:pPr>
          </w:p>
        </w:tc>
        <w:tc>
          <w:tcPr>
            <w:tcW w:w="1152" w:type="dxa"/>
            <w:tcBorders>
              <w:top w:val="nil"/>
              <w:left w:val="nil"/>
              <w:bottom w:val="nil"/>
            </w:tcBorders>
            <w:shd w:val="clear" w:color="auto" w:fill="D9D9D9" w:themeFill="background1" w:themeFillShade="D9"/>
            <w:noWrap/>
            <w:vAlign w:val="bottom"/>
            <w:hideMark/>
          </w:tcPr>
          <w:p w:rsidR="003824F4" w:rsidRPr="0019485C" w:rsidRDefault="003824F4" w:rsidP="00053E8E"/>
        </w:tc>
      </w:tr>
      <w:tr w:rsidR="003824F4" w:rsidRPr="0092228A" w:rsidTr="000B1C48">
        <w:trPr>
          <w:trHeight w:val="315"/>
        </w:trPr>
        <w:tc>
          <w:tcPr>
            <w:tcW w:w="1460" w:type="dxa"/>
            <w:tcBorders>
              <w:top w:val="nil"/>
              <w:left w:val="single" w:sz="6" w:space="0" w:color="auto"/>
              <w:bottom w:val="nil"/>
              <w:right w:val="nil"/>
            </w:tcBorders>
            <w:shd w:val="clear" w:color="auto" w:fill="FF99CC"/>
            <w:noWrap/>
            <w:vAlign w:val="bottom"/>
            <w:hideMark/>
          </w:tcPr>
          <w:p w:rsidR="003824F4" w:rsidRPr="0019485C" w:rsidRDefault="003824F4" w:rsidP="00053E8E">
            <w:pPr>
              <w:rPr>
                <w:color w:val="000000"/>
                <w:szCs w:val="24"/>
              </w:rPr>
            </w:pPr>
            <w:r w:rsidRPr="0019485C">
              <w:rPr>
                <w:color w:val="000000"/>
                <w:szCs w:val="24"/>
              </w:rPr>
              <w:t>Claremont</w:t>
            </w:r>
          </w:p>
        </w:tc>
        <w:tc>
          <w:tcPr>
            <w:tcW w:w="1296" w:type="dxa"/>
            <w:tcBorders>
              <w:top w:val="nil"/>
              <w:left w:val="nil"/>
              <w:bottom w:val="nil"/>
              <w:right w:val="nil"/>
            </w:tcBorders>
            <w:shd w:val="clear" w:color="auto" w:fill="auto"/>
            <w:noWrap/>
            <w:vAlign w:val="bottom"/>
            <w:hideMark/>
          </w:tcPr>
          <w:p w:rsidR="003824F4" w:rsidRPr="0019485C" w:rsidRDefault="003824F4" w:rsidP="00053E8E">
            <w:pPr>
              <w:jc w:val="right"/>
              <w:rPr>
                <w:color w:val="000000"/>
                <w:szCs w:val="24"/>
              </w:rPr>
            </w:pPr>
            <w:r w:rsidRPr="0019485C">
              <w:rPr>
                <w:color w:val="000000"/>
                <w:szCs w:val="24"/>
              </w:rPr>
              <w:t>429</w:t>
            </w:r>
          </w:p>
        </w:tc>
        <w:tc>
          <w:tcPr>
            <w:tcW w:w="1511" w:type="dxa"/>
            <w:tcBorders>
              <w:top w:val="nil"/>
              <w:left w:val="nil"/>
              <w:bottom w:val="nil"/>
              <w:right w:val="nil"/>
            </w:tcBorders>
            <w:shd w:val="clear" w:color="auto" w:fill="auto"/>
            <w:noWrap/>
            <w:vAlign w:val="bottom"/>
            <w:hideMark/>
          </w:tcPr>
          <w:p w:rsidR="003824F4" w:rsidRPr="0019485C" w:rsidRDefault="003824F4" w:rsidP="00053E8E">
            <w:pPr>
              <w:jc w:val="right"/>
              <w:rPr>
                <w:color w:val="000000"/>
                <w:szCs w:val="24"/>
              </w:rPr>
            </w:pPr>
          </w:p>
        </w:tc>
        <w:tc>
          <w:tcPr>
            <w:tcW w:w="1152" w:type="dxa"/>
            <w:tcBorders>
              <w:top w:val="nil"/>
              <w:left w:val="nil"/>
              <w:bottom w:val="nil"/>
              <w:right w:val="nil"/>
            </w:tcBorders>
            <w:shd w:val="clear" w:color="auto" w:fill="auto"/>
            <w:noWrap/>
            <w:vAlign w:val="bottom"/>
            <w:hideMark/>
          </w:tcPr>
          <w:p w:rsidR="003824F4" w:rsidRPr="0019485C" w:rsidRDefault="003824F4" w:rsidP="00053E8E"/>
        </w:tc>
        <w:tc>
          <w:tcPr>
            <w:tcW w:w="1440" w:type="dxa"/>
            <w:tcBorders>
              <w:top w:val="nil"/>
              <w:left w:val="nil"/>
              <w:bottom w:val="nil"/>
              <w:right w:val="nil"/>
            </w:tcBorders>
            <w:shd w:val="clear" w:color="auto" w:fill="auto"/>
            <w:noWrap/>
            <w:vAlign w:val="bottom"/>
            <w:hideMark/>
          </w:tcPr>
          <w:p w:rsidR="003824F4" w:rsidRPr="0019485C" w:rsidRDefault="003824F4" w:rsidP="00053E8E">
            <w:pPr>
              <w:jc w:val="right"/>
              <w:rPr>
                <w:color w:val="000000"/>
                <w:szCs w:val="24"/>
              </w:rPr>
            </w:pPr>
            <w:r w:rsidRPr="0019485C">
              <w:rPr>
                <w:color w:val="000000"/>
                <w:szCs w:val="24"/>
              </w:rPr>
              <w:t>136</w:t>
            </w:r>
          </w:p>
        </w:tc>
        <w:tc>
          <w:tcPr>
            <w:tcW w:w="1440" w:type="dxa"/>
            <w:tcBorders>
              <w:top w:val="nil"/>
              <w:left w:val="nil"/>
              <w:bottom w:val="nil"/>
              <w:right w:val="nil"/>
            </w:tcBorders>
            <w:shd w:val="clear" w:color="auto" w:fill="auto"/>
            <w:noWrap/>
            <w:vAlign w:val="bottom"/>
            <w:hideMark/>
          </w:tcPr>
          <w:p w:rsidR="003824F4" w:rsidRPr="0019485C" w:rsidRDefault="003824F4" w:rsidP="00053E8E">
            <w:pPr>
              <w:jc w:val="right"/>
              <w:rPr>
                <w:color w:val="000000"/>
                <w:szCs w:val="24"/>
              </w:rPr>
            </w:pPr>
          </w:p>
        </w:tc>
        <w:tc>
          <w:tcPr>
            <w:tcW w:w="1152" w:type="dxa"/>
            <w:tcBorders>
              <w:top w:val="nil"/>
              <w:left w:val="nil"/>
              <w:bottom w:val="nil"/>
            </w:tcBorders>
            <w:shd w:val="clear" w:color="auto" w:fill="auto"/>
            <w:noWrap/>
            <w:vAlign w:val="bottom"/>
            <w:hideMark/>
          </w:tcPr>
          <w:p w:rsidR="003824F4" w:rsidRPr="0019485C" w:rsidRDefault="003824F4" w:rsidP="00053E8E"/>
        </w:tc>
      </w:tr>
      <w:tr w:rsidR="003824F4" w:rsidRPr="0092228A" w:rsidTr="000B1C48">
        <w:trPr>
          <w:trHeight w:val="315"/>
        </w:trPr>
        <w:tc>
          <w:tcPr>
            <w:tcW w:w="1460" w:type="dxa"/>
            <w:tcBorders>
              <w:top w:val="nil"/>
              <w:left w:val="single" w:sz="6" w:space="0" w:color="auto"/>
              <w:bottom w:val="nil"/>
              <w:right w:val="nil"/>
            </w:tcBorders>
            <w:shd w:val="clear" w:color="auto" w:fill="CC99FF"/>
            <w:noWrap/>
            <w:vAlign w:val="bottom"/>
            <w:hideMark/>
          </w:tcPr>
          <w:p w:rsidR="003824F4" w:rsidRPr="0019485C" w:rsidRDefault="003824F4" w:rsidP="00053E8E">
            <w:pPr>
              <w:rPr>
                <w:color w:val="000000"/>
                <w:szCs w:val="24"/>
              </w:rPr>
            </w:pPr>
            <w:r w:rsidRPr="0019485C">
              <w:rPr>
                <w:color w:val="000000"/>
                <w:szCs w:val="24"/>
              </w:rPr>
              <w:t>Glendora</w:t>
            </w:r>
          </w:p>
        </w:tc>
        <w:tc>
          <w:tcPr>
            <w:tcW w:w="1296" w:type="dxa"/>
            <w:tcBorders>
              <w:top w:val="nil"/>
              <w:left w:val="nil"/>
              <w:bottom w:val="nil"/>
              <w:right w:val="nil"/>
            </w:tcBorders>
            <w:shd w:val="clear" w:color="auto" w:fill="D9D9D9" w:themeFill="background1" w:themeFillShade="D9"/>
            <w:noWrap/>
            <w:vAlign w:val="bottom"/>
            <w:hideMark/>
          </w:tcPr>
          <w:p w:rsidR="003824F4" w:rsidRPr="0019485C" w:rsidRDefault="003824F4" w:rsidP="00053E8E">
            <w:pPr>
              <w:jc w:val="right"/>
              <w:rPr>
                <w:color w:val="000000"/>
                <w:szCs w:val="24"/>
              </w:rPr>
            </w:pPr>
            <w:r w:rsidRPr="0019485C">
              <w:rPr>
                <w:color w:val="000000"/>
                <w:szCs w:val="24"/>
              </w:rPr>
              <w:t>61</w:t>
            </w:r>
          </w:p>
        </w:tc>
        <w:tc>
          <w:tcPr>
            <w:tcW w:w="1511" w:type="dxa"/>
            <w:tcBorders>
              <w:top w:val="nil"/>
              <w:left w:val="nil"/>
              <w:bottom w:val="nil"/>
              <w:right w:val="nil"/>
            </w:tcBorders>
            <w:shd w:val="clear" w:color="auto" w:fill="D9D9D9" w:themeFill="background1" w:themeFillShade="D9"/>
            <w:noWrap/>
            <w:vAlign w:val="bottom"/>
            <w:hideMark/>
          </w:tcPr>
          <w:p w:rsidR="003824F4" w:rsidRPr="0019485C" w:rsidRDefault="003824F4" w:rsidP="00053E8E">
            <w:pPr>
              <w:jc w:val="right"/>
              <w:rPr>
                <w:color w:val="000000"/>
                <w:szCs w:val="24"/>
              </w:rPr>
            </w:pPr>
          </w:p>
        </w:tc>
        <w:tc>
          <w:tcPr>
            <w:tcW w:w="1152" w:type="dxa"/>
            <w:tcBorders>
              <w:top w:val="nil"/>
              <w:left w:val="nil"/>
              <w:bottom w:val="nil"/>
              <w:right w:val="nil"/>
            </w:tcBorders>
            <w:shd w:val="clear" w:color="auto" w:fill="D9D9D9" w:themeFill="background1" w:themeFillShade="D9"/>
            <w:noWrap/>
            <w:vAlign w:val="bottom"/>
            <w:hideMark/>
          </w:tcPr>
          <w:p w:rsidR="003824F4" w:rsidRPr="0019485C" w:rsidRDefault="003824F4" w:rsidP="00053E8E"/>
        </w:tc>
        <w:tc>
          <w:tcPr>
            <w:tcW w:w="1440" w:type="dxa"/>
            <w:tcBorders>
              <w:top w:val="nil"/>
              <w:left w:val="nil"/>
              <w:bottom w:val="nil"/>
              <w:right w:val="nil"/>
            </w:tcBorders>
            <w:shd w:val="clear" w:color="auto" w:fill="D9D9D9" w:themeFill="background1" w:themeFillShade="D9"/>
            <w:noWrap/>
            <w:vAlign w:val="bottom"/>
            <w:hideMark/>
          </w:tcPr>
          <w:p w:rsidR="003824F4" w:rsidRPr="0019485C" w:rsidRDefault="003824F4" w:rsidP="00053E8E">
            <w:pPr>
              <w:jc w:val="right"/>
              <w:rPr>
                <w:color w:val="000000"/>
                <w:szCs w:val="24"/>
              </w:rPr>
            </w:pPr>
            <w:r w:rsidRPr="0019485C">
              <w:rPr>
                <w:color w:val="000000"/>
                <w:szCs w:val="24"/>
              </w:rPr>
              <w:t>37</w:t>
            </w:r>
          </w:p>
        </w:tc>
        <w:tc>
          <w:tcPr>
            <w:tcW w:w="1440" w:type="dxa"/>
            <w:tcBorders>
              <w:top w:val="nil"/>
              <w:left w:val="nil"/>
              <w:bottom w:val="nil"/>
              <w:right w:val="nil"/>
            </w:tcBorders>
            <w:shd w:val="clear" w:color="auto" w:fill="D9D9D9" w:themeFill="background1" w:themeFillShade="D9"/>
            <w:noWrap/>
            <w:vAlign w:val="bottom"/>
            <w:hideMark/>
          </w:tcPr>
          <w:p w:rsidR="003824F4" w:rsidRPr="0019485C" w:rsidRDefault="003824F4" w:rsidP="00053E8E">
            <w:pPr>
              <w:jc w:val="right"/>
              <w:rPr>
                <w:color w:val="000000"/>
                <w:szCs w:val="24"/>
              </w:rPr>
            </w:pPr>
          </w:p>
        </w:tc>
        <w:tc>
          <w:tcPr>
            <w:tcW w:w="1152" w:type="dxa"/>
            <w:tcBorders>
              <w:top w:val="nil"/>
              <w:left w:val="nil"/>
              <w:bottom w:val="nil"/>
            </w:tcBorders>
            <w:shd w:val="clear" w:color="auto" w:fill="D9D9D9" w:themeFill="background1" w:themeFillShade="D9"/>
            <w:noWrap/>
            <w:vAlign w:val="bottom"/>
            <w:hideMark/>
          </w:tcPr>
          <w:p w:rsidR="003824F4" w:rsidRPr="0019485C" w:rsidRDefault="003824F4" w:rsidP="00053E8E"/>
        </w:tc>
      </w:tr>
      <w:tr w:rsidR="003824F4" w:rsidRPr="0092228A" w:rsidTr="000B1C48">
        <w:trPr>
          <w:trHeight w:val="330"/>
        </w:trPr>
        <w:tc>
          <w:tcPr>
            <w:tcW w:w="1460" w:type="dxa"/>
            <w:tcBorders>
              <w:top w:val="nil"/>
              <w:left w:val="single" w:sz="6" w:space="0" w:color="auto"/>
              <w:bottom w:val="single" w:sz="6" w:space="0" w:color="auto"/>
              <w:right w:val="nil"/>
            </w:tcBorders>
            <w:shd w:val="clear" w:color="auto" w:fill="FF99CC"/>
            <w:noWrap/>
            <w:vAlign w:val="bottom"/>
            <w:hideMark/>
          </w:tcPr>
          <w:p w:rsidR="003824F4" w:rsidRPr="0019485C" w:rsidRDefault="003824F4" w:rsidP="00053E8E">
            <w:pPr>
              <w:rPr>
                <w:color w:val="000000"/>
                <w:szCs w:val="24"/>
              </w:rPr>
            </w:pPr>
            <w:r w:rsidRPr="0019485C">
              <w:rPr>
                <w:color w:val="000000"/>
                <w:szCs w:val="24"/>
              </w:rPr>
              <w:t>Monrovia</w:t>
            </w:r>
          </w:p>
        </w:tc>
        <w:tc>
          <w:tcPr>
            <w:tcW w:w="1296" w:type="dxa"/>
            <w:tcBorders>
              <w:top w:val="nil"/>
              <w:left w:val="nil"/>
              <w:bottom w:val="single" w:sz="6" w:space="0" w:color="auto"/>
              <w:right w:val="nil"/>
            </w:tcBorders>
            <w:shd w:val="clear" w:color="auto" w:fill="auto"/>
            <w:noWrap/>
            <w:vAlign w:val="bottom"/>
            <w:hideMark/>
          </w:tcPr>
          <w:p w:rsidR="003824F4" w:rsidRPr="0019485C" w:rsidRDefault="003824F4" w:rsidP="00053E8E">
            <w:pPr>
              <w:jc w:val="right"/>
              <w:rPr>
                <w:color w:val="000000"/>
                <w:szCs w:val="24"/>
              </w:rPr>
            </w:pPr>
            <w:r w:rsidRPr="0019485C">
              <w:rPr>
                <w:color w:val="000000"/>
                <w:szCs w:val="24"/>
              </w:rPr>
              <w:t>1,011</w:t>
            </w:r>
          </w:p>
        </w:tc>
        <w:tc>
          <w:tcPr>
            <w:tcW w:w="1511" w:type="dxa"/>
            <w:tcBorders>
              <w:top w:val="nil"/>
              <w:left w:val="nil"/>
              <w:bottom w:val="single" w:sz="6" w:space="0" w:color="auto"/>
              <w:right w:val="nil"/>
            </w:tcBorders>
            <w:shd w:val="clear" w:color="auto" w:fill="auto"/>
            <w:noWrap/>
            <w:vAlign w:val="bottom"/>
            <w:hideMark/>
          </w:tcPr>
          <w:p w:rsidR="003824F4" w:rsidRPr="0019485C" w:rsidRDefault="003824F4" w:rsidP="00053E8E">
            <w:pPr>
              <w:jc w:val="right"/>
              <w:rPr>
                <w:color w:val="000000"/>
                <w:szCs w:val="24"/>
              </w:rPr>
            </w:pPr>
          </w:p>
        </w:tc>
        <w:tc>
          <w:tcPr>
            <w:tcW w:w="1152" w:type="dxa"/>
            <w:tcBorders>
              <w:top w:val="nil"/>
              <w:left w:val="nil"/>
              <w:bottom w:val="single" w:sz="6" w:space="0" w:color="auto"/>
              <w:right w:val="nil"/>
            </w:tcBorders>
            <w:shd w:val="clear" w:color="auto" w:fill="auto"/>
            <w:noWrap/>
            <w:vAlign w:val="bottom"/>
            <w:hideMark/>
          </w:tcPr>
          <w:p w:rsidR="003824F4" w:rsidRPr="0019485C" w:rsidRDefault="003824F4" w:rsidP="00053E8E"/>
        </w:tc>
        <w:tc>
          <w:tcPr>
            <w:tcW w:w="1440" w:type="dxa"/>
            <w:tcBorders>
              <w:top w:val="nil"/>
              <w:left w:val="nil"/>
              <w:bottom w:val="single" w:sz="6" w:space="0" w:color="auto"/>
              <w:right w:val="nil"/>
            </w:tcBorders>
            <w:shd w:val="clear" w:color="auto" w:fill="auto"/>
            <w:noWrap/>
            <w:vAlign w:val="bottom"/>
            <w:hideMark/>
          </w:tcPr>
          <w:p w:rsidR="003824F4" w:rsidRPr="0019485C" w:rsidRDefault="003824F4" w:rsidP="00053E8E">
            <w:pPr>
              <w:jc w:val="right"/>
              <w:rPr>
                <w:color w:val="000000"/>
                <w:szCs w:val="24"/>
              </w:rPr>
            </w:pPr>
            <w:r w:rsidRPr="0019485C">
              <w:rPr>
                <w:color w:val="000000"/>
                <w:szCs w:val="24"/>
              </w:rPr>
              <w:t>285</w:t>
            </w:r>
          </w:p>
        </w:tc>
        <w:tc>
          <w:tcPr>
            <w:tcW w:w="1440" w:type="dxa"/>
            <w:tcBorders>
              <w:top w:val="nil"/>
              <w:left w:val="nil"/>
              <w:bottom w:val="single" w:sz="6" w:space="0" w:color="auto"/>
              <w:right w:val="nil"/>
            </w:tcBorders>
            <w:shd w:val="clear" w:color="auto" w:fill="auto"/>
            <w:noWrap/>
            <w:vAlign w:val="bottom"/>
            <w:hideMark/>
          </w:tcPr>
          <w:p w:rsidR="003824F4" w:rsidRPr="0019485C" w:rsidRDefault="003824F4" w:rsidP="00053E8E">
            <w:pPr>
              <w:jc w:val="right"/>
              <w:rPr>
                <w:color w:val="000000"/>
                <w:szCs w:val="24"/>
              </w:rPr>
            </w:pPr>
          </w:p>
        </w:tc>
        <w:tc>
          <w:tcPr>
            <w:tcW w:w="1152" w:type="dxa"/>
            <w:tcBorders>
              <w:top w:val="nil"/>
              <w:left w:val="nil"/>
              <w:bottom w:val="single" w:sz="6" w:space="0" w:color="auto"/>
            </w:tcBorders>
            <w:shd w:val="clear" w:color="auto" w:fill="auto"/>
            <w:noWrap/>
            <w:vAlign w:val="bottom"/>
            <w:hideMark/>
          </w:tcPr>
          <w:p w:rsidR="003824F4" w:rsidRPr="0019485C" w:rsidRDefault="003824F4" w:rsidP="00053E8E"/>
        </w:tc>
      </w:tr>
      <w:tr w:rsidR="000B1C48" w:rsidRPr="0092228A" w:rsidTr="000B1C48">
        <w:trPr>
          <w:trHeight w:val="330"/>
        </w:trPr>
        <w:tc>
          <w:tcPr>
            <w:tcW w:w="1460" w:type="dxa"/>
            <w:tcBorders>
              <w:top w:val="single" w:sz="6" w:space="0" w:color="auto"/>
              <w:left w:val="single" w:sz="6" w:space="0" w:color="auto"/>
              <w:bottom w:val="single" w:sz="6" w:space="0" w:color="auto"/>
              <w:right w:val="nil"/>
            </w:tcBorders>
            <w:shd w:val="clear" w:color="auto" w:fill="CC99FF"/>
            <w:vAlign w:val="center"/>
            <w:hideMark/>
          </w:tcPr>
          <w:p w:rsidR="000B1C48" w:rsidRPr="0019485C" w:rsidRDefault="000B1C48" w:rsidP="000B1C48">
            <w:pPr>
              <w:rPr>
                <w:b/>
                <w:szCs w:val="24"/>
              </w:rPr>
            </w:pPr>
            <w:r w:rsidRPr="0019485C">
              <w:rPr>
                <w:b/>
                <w:szCs w:val="24"/>
              </w:rPr>
              <w:t>Total</w:t>
            </w:r>
          </w:p>
        </w:tc>
        <w:tc>
          <w:tcPr>
            <w:tcW w:w="1296" w:type="dxa"/>
            <w:tcBorders>
              <w:top w:val="single" w:sz="6" w:space="0" w:color="auto"/>
              <w:left w:val="nil"/>
              <w:bottom w:val="single" w:sz="6" w:space="0" w:color="auto"/>
              <w:right w:val="nil"/>
            </w:tcBorders>
            <w:shd w:val="clear" w:color="auto" w:fill="D9D9D9" w:themeFill="background1" w:themeFillShade="D9"/>
            <w:vAlign w:val="center"/>
            <w:hideMark/>
          </w:tcPr>
          <w:p w:rsidR="000B1C48" w:rsidRPr="0019485C" w:rsidRDefault="000B1C48" w:rsidP="000B1C48">
            <w:pPr>
              <w:jc w:val="right"/>
              <w:rPr>
                <w:b/>
                <w:szCs w:val="24"/>
              </w:rPr>
            </w:pPr>
            <w:r>
              <w:rPr>
                <w:b/>
                <w:szCs w:val="24"/>
              </w:rPr>
              <w:t>2,096</w:t>
            </w:r>
          </w:p>
        </w:tc>
        <w:tc>
          <w:tcPr>
            <w:tcW w:w="1511" w:type="dxa"/>
            <w:tcBorders>
              <w:top w:val="single" w:sz="6" w:space="0" w:color="auto"/>
              <w:left w:val="nil"/>
              <w:bottom w:val="single" w:sz="6" w:space="0" w:color="auto"/>
              <w:right w:val="nil"/>
            </w:tcBorders>
            <w:shd w:val="clear" w:color="auto" w:fill="D9D9D9" w:themeFill="background1" w:themeFillShade="D9"/>
            <w:vAlign w:val="center"/>
            <w:hideMark/>
          </w:tcPr>
          <w:p w:rsidR="000B1C48" w:rsidRPr="0019485C" w:rsidRDefault="000B1C48" w:rsidP="000B1C48">
            <w:pPr>
              <w:jc w:val="right"/>
              <w:rPr>
                <w:b/>
              </w:rPr>
            </w:pPr>
            <w:r>
              <w:rPr>
                <w:b/>
              </w:rPr>
              <w:t>34,343</w:t>
            </w:r>
          </w:p>
        </w:tc>
        <w:tc>
          <w:tcPr>
            <w:tcW w:w="1152" w:type="dxa"/>
            <w:tcBorders>
              <w:top w:val="single" w:sz="6" w:space="0" w:color="auto"/>
              <w:left w:val="nil"/>
              <w:bottom w:val="single" w:sz="6" w:space="0" w:color="auto"/>
              <w:right w:val="nil"/>
            </w:tcBorders>
            <w:shd w:val="clear" w:color="auto" w:fill="D9D9D9" w:themeFill="background1" w:themeFillShade="D9"/>
            <w:vAlign w:val="center"/>
            <w:hideMark/>
          </w:tcPr>
          <w:p w:rsidR="000B1C48" w:rsidRPr="0019485C" w:rsidRDefault="000B1C48" w:rsidP="000B1C48">
            <w:pPr>
              <w:jc w:val="right"/>
              <w:rPr>
                <w:b/>
              </w:rPr>
            </w:pPr>
            <w:r>
              <w:rPr>
                <w:b/>
              </w:rPr>
              <w:t>6.1%</w:t>
            </w:r>
          </w:p>
        </w:tc>
        <w:tc>
          <w:tcPr>
            <w:tcW w:w="1440" w:type="dxa"/>
            <w:tcBorders>
              <w:top w:val="single" w:sz="6" w:space="0" w:color="auto"/>
              <w:left w:val="nil"/>
              <w:bottom w:val="single" w:sz="6" w:space="0" w:color="auto"/>
              <w:right w:val="nil"/>
            </w:tcBorders>
            <w:shd w:val="clear" w:color="auto" w:fill="D9D9D9" w:themeFill="background1" w:themeFillShade="D9"/>
            <w:vAlign w:val="center"/>
            <w:hideMark/>
          </w:tcPr>
          <w:p w:rsidR="000B1C48" w:rsidRPr="0019485C" w:rsidRDefault="000B1C48" w:rsidP="000B1C48">
            <w:pPr>
              <w:jc w:val="right"/>
              <w:rPr>
                <w:b/>
                <w:szCs w:val="24"/>
              </w:rPr>
            </w:pPr>
            <w:r>
              <w:rPr>
                <w:b/>
                <w:szCs w:val="24"/>
              </w:rPr>
              <w:t>648</w:t>
            </w:r>
          </w:p>
        </w:tc>
        <w:tc>
          <w:tcPr>
            <w:tcW w:w="1440" w:type="dxa"/>
            <w:tcBorders>
              <w:top w:val="single" w:sz="6" w:space="0" w:color="auto"/>
              <w:left w:val="nil"/>
              <w:bottom w:val="single" w:sz="6" w:space="0" w:color="auto"/>
              <w:right w:val="nil"/>
            </w:tcBorders>
            <w:shd w:val="clear" w:color="auto" w:fill="D9D9D9" w:themeFill="background1" w:themeFillShade="D9"/>
            <w:vAlign w:val="center"/>
            <w:hideMark/>
          </w:tcPr>
          <w:p w:rsidR="000B1C48" w:rsidRPr="0019485C" w:rsidRDefault="000B1C48" w:rsidP="000B1C48">
            <w:pPr>
              <w:jc w:val="right"/>
              <w:rPr>
                <w:b/>
                <w:szCs w:val="24"/>
              </w:rPr>
            </w:pPr>
            <w:r>
              <w:rPr>
                <w:b/>
                <w:szCs w:val="24"/>
              </w:rPr>
              <w:t>24,467</w:t>
            </w:r>
          </w:p>
        </w:tc>
        <w:tc>
          <w:tcPr>
            <w:tcW w:w="1152" w:type="dxa"/>
            <w:tcBorders>
              <w:top w:val="single" w:sz="6" w:space="0" w:color="auto"/>
              <w:left w:val="nil"/>
              <w:bottom w:val="single" w:sz="6" w:space="0" w:color="auto"/>
            </w:tcBorders>
            <w:shd w:val="clear" w:color="auto" w:fill="D9D9D9" w:themeFill="background1" w:themeFillShade="D9"/>
            <w:noWrap/>
            <w:vAlign w:val="center"/>
            <w:hideMark/>
          </w:tcPr>
          <w:p w:rsidR="000B1C48" w:rsidRPr="0019485C" w:rsidRDefault="000B1C48" w:rsidP="000B1C48">
            <w:pPr>
              <w:jc w:val="right"/>
              <w:rPr>
                <w:b/>
                <w:color w:val="000000"/>
                <w:szCs w:val="24"/>
              </w:rPr>
            </w:pPr>
            <w:r>
              <w:rPr>
                <w:b/>
                <w:color w:val="000000"/>
                <w:szCs w:val="24"/>
              </w:rPr>
              <w:t>2.6%</w:t>
            </w:r>
          </w:p>
        </w:tc>
      </w:tr>
    </w:tbl>
    <w:p w:rsidR="00480175" w:rsidRPr="00BA13B7" w:rsidRDefault="00EB722B" w:rsidP="000B1C48">
      <w:pPr>
        <w:spacing w:before="240"/>
      </w:pPr>
      <w:r>
        <w:t>When comparing the large number of regional job openings in the CTE programs provi</w:t>
      </w:r>
      <w:r w:rsidR="000B1C48">
        <w:t xml:space="preserve">ded by the </w:t>
      </w:r>
      <w:r>
        <w:t>consortium and the actual number of adults trained for those jobs, one would find similar-sized gaps. These significantly large gaps inform consortium vision and goals.</w:t>
      </w:r>
      <w:r w:rsidR="00480175" w:rsidRPr="00BA13B7">
        <w:br w:type="page"/>
      </w:r>
    </w:p>
    <w:p w:rsidR="00480175" w:rsidRPr="00BA13B7" w:rsidRDefault="00480175" w:rsidP="00480175">
      <w:pPr>
        <w:pStyle w:val="Heading2"/>
        <w:rPr>
          <w:rFonts w:asciiTheme="minorHAnsi" w:hAnsiTheme="minorHAnsi"/>
          <w:color w:val="auto"/>
          <w:sz w:val="4"/>
          <w:szCs w:val="4"/>
        </w:rPr>
      </w:pPr>
      <w:bookmarkStart w:id="39" w:name="_Toc10804147"/>
      <w:r w:rsidRPr="00BA13B7">
        <w:rPr>
          <w:rFonts w:asciiTheme="minorHAnsi" w:hAnsiTheme="minorHAnsi"/>
          <w:b/>
          <w:color w:val="auto"/>
          <w:sz w:val="28"/>
        </w:rPr>
        <w:lastRenderedPageBreak/>
        <w:t>Section 2.4 Identifying Goals and Strategies</w:t>
      </w:r>
      <w:bookmarkEnd w:id="39"/>
      <w:r w:rsidRPr="00BA13B7">
        <w:rPr>
          <w:rFonts w:asciiTheme="minorHAnsi" w:hAnsiTheme="minorHAnsi"/>
          <w:b/>
          <w:color w:val="auto"/>
          <w:sz w:val="28"/>
        </w:rPr>
        <w:tab/>
      </w:r>
    </w:p>
    <w:p w:rsidR="00480175" w:rsidRPr="00BA13B7" w:rsidRDefault="00480175" w:rsidP="00480175">
      <w:r w:rsidRPr="00BA13B7">
        <w:rPr>
          <w:b/>
          <w:noProof/>
          <w:sz w:val="28"/>
        </w:rPr>
        <mc:AlternateContent>
          <mc:Choice Requires="wps">
            <w:drawing>
              <wp:anchor distT="0" distB="0" distL="114300" distR="114300" simplePos="0" relativeHeight="251665408" behindDoc="0" locked="0" layoutInCell="1" allowOverlap="1" wp14:anchorId="6500F3D1" wp14:editId="70967396">
                <wp:simplePos x="0" y="0"/>
                <wp:positionH relativeFrom="column">
                  <wp:posOffset>-9525</wp:posOffset>
                </wp:positionH>
                <wp:positionV relativeFrom="paragraph">
                  <wp:posOffset>23494</wp:posOffset>
                </wp:positionV>
                <wp:extent cx="60007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9C65A"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5pt" to="47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" strokecolor="black [3200]" strokeweight=".5pt">
                <v:stroke joinstyle="miter"/>
              </v:line>
            </w:pict>
          </mc:Fallback>
        </mc:AlternateContent>
      </w:r>
    </w:p>
    <w:p w:rsidR="00DB45A1" w:rsidRDefault="00FB111F" w:rsidP="003C027C">
      <w:r>
        <w:t xml:space="preserve">Citrus College Adult Education Consortium stakeholders believe past planning and implementation efforts have resulted in excellent growth </w:t>
      </w:r>
      <w:r w:rsidR="00DB45A1">
        <w:t xml:space="preserve">in systems, data utilization, and program innovation. </w:t>
      </w:r>
      <w:r w:rsidR="007E164A">
        <w:t>Past CCAEC efforts have the consortium poised for excellent future outcomes.</w:t>
      </w:r>
    </w:p>
    <w:p w:rsidR="00FB111F" w:rsidRDefault="00DB45A1" w:rsidP="003C027C">
      <w:r>
        <w:t xml:space="preserve">Member administration believes </w:t>
      </w:r>
      <w:r w:rsidR="00FB111F">
        <w:t xml:space="preserve">the consortium </w:t>
      </w:r>
      <w:r>
        <w:t>is at the launch point for remarkable growth and achievement in CTE program offerings, course execution and job placement. While CTE programmatic efforts have been patchwork, they have been quite successful. The consortium now recognizes how to tap into leveraged resources to serve adult learners and regional industry.</w:t>
      </w:r>
      <w:r w:rsidR="006A5FD4">
        <w:t xml:space="preserve"> Over $250,000 in annual Title I funds have been added to consortium CTE efforts, and with all three CTE schools registered on the CalJobs ETPL and LA County I-TRAIN website, the consortium conservatively estimates that number will rise to $550,000. </w:t>
      </w:r>
      <w:r w:rsidR="009F3F49">
        <w:t xml:space="preserve">Goal Statements #2 and #3 clearly lay out the actionable path forward to </w:t>
      </w:r>
      <w:r w:rsidR="007E164A">
        <w:t>achieve integration of services with industry, workforce boards, and other relevant stakeholders to maximize student training and transition to the workforce.</w:t>
      </w:r>
    </w:p>
    <w:p w:rsidR="009953AF" w:rsidRDefault="009F3F49" w:rsidP="003C027C">
      <w:r>
        <w:t xml:space="preserve">Consortium work on facilitating student literacy gains has been </w:t>
      </w:r>
      <w:r w:rsidR="007E164A">
        <w:t>far-reaching</w:t>
      </w:r>
      <w:r>
        <w:t xml:space="preserve">, but there is room for growth. </w:t>
      </w:r>
      <w:r w:rsidR="009B5939">
        <w:t>During the 2018-19 school year</w:t>
      </w:r>
      <w:r w:rsidR="00FB111F">
        <w:t xml:space="preserve">, CCAEC </w:t>
      </w:r>
      <w:r>
        <w:t xml:space="preserve">extensively </w:t>
      </w:r>
      <w:r w:rsidR="00FB111F">
        <w:t xml:space="preserve">engaged in </w:t>
      </w:r>
      <w:r>
        <w:t>aggregating and analyzing literacy gains</w:t>
      </w:r>
      <w:r w:rsidR="00FB111F">
        <w:t xml:space="preserve"> data in preparing for creation of the Three-Year Plan. In the CCAEC Winter Conference, faculty and stakeholders were able to meet with Neil Kelly of the state office and Jay Wright of TOPSpro Enterprise and have meaningful conversations regarding the CCAEC data as presented in sections 2.3 and 2.4 </w:t>
      </w:r>
      <w:r>
        <w:t xml:space="preserve">of this plan </w:t>
      </w:r>
      <w:r w:rsidR="00FB111F">
        <w:t xml:space="preserve">and, more critically, regarding consortium performance and persistence data. The consortium has created protocols for TE Coordination meetings and that group of ESL coordinators, faculty, classified staff, and administration has made tremendous strides in addressing data integrity issues and sharing best practices. This group </w:t>
      </w:r>
      <w:r>
        <w:t xml:space="preserve">also </w:t>
      </w:r>
      <w:r w:rsidR="00FB111F">
        <w:t>played</w:t>
      </w:r>
      <w:r w:rsidR="001A0CCE">
        <w:t xml:space="preserve"> a central role in devising </w:t>
      </w:r>
      <w:r w:rsidR="00FB111F">
        <w:t xml:space="preserve">Goal Statement </w:t>
      </w:r>
      <w:r w:rsidR="007E164A">
        <w:t xml:space="preserve">#1 </w:t>
      </w:r>
      <w:r w:rsidR="00FB111F">
        <w:t>in this plan.</w:t>
      </w:r>
    </w:p>
    <w:p w:rsidR="007E164A" w:rsidRPr="009B5939" w:rsidRDefault="00760553" w:rsidP="003C027C">
      <w:r>
        <w:t>There is one area of significant growth for the coming three years</w:t>
      </w:r>
      <w:r w:rsidR="007E164A">
        <w:t xml:space="preserve">. For a variety of reasons, consortium efforts at postsecondary transition have </w:t>
      </w:r>
      <w:r>
        <w:t xml:space="preserve">not been as </w:t>
      </w:r>
      <w:r w:rsidR="007E164A">
        <w:t>successful</w:t>
      </w:r>
      <w:r>
        <w:t xml:space="preserve"> as members would like</w:t>
      </w:r>
      <w:r w:rsidR="007E164A">
        <w:t xml:space="preserve">. </w:t>
      </w:r>
      <w:r>
        <w:t>Member administration has been</w:t>
      </w:r>
      <w:r w:rsidR="007E164A">
        <w:t xml:space="preserve"> working diligently to correct that. Member administration has strategized about best ways to</w:t>
      </w:r>
      <w:r w:rsidR="000F5300">
        <w:t xml:space="preserve"> address the situation, looked at state-wide best practices, </w:t>
      </w:r>
      <w:r w:rsidR="007E164A">
        <w:t>committed resources</w:t>
      </w:r>
      <w:r>
        <w:t xml:space="preserve"> to efficiently engage in the solution</w:t>
      </w:r>
      <w:r w:rsidR="007E164A">
        <w:t>,</w:t>
      </w:r>
      <w:r w:rsidR="000F5300">
        <w:t xml:space="preserve"> is establishing </w:t>
      </w:r>
      <w:r>
        <w:t>protocols</w:t>
      </w:r>
      <w:r w:rsidR="000F5300">
        <w:t xml:space="preserve"> to monitor performance, and has </w:t>
      </w:r>
      <w:r>
        <w:t>created a plan</w:t>
      </w:r>
      <w:r w:rsidR="000F5300">
        <w:t xml:space="preserve"> accordingly.</w:t>
      </w:r>
      <w:r w:rsidR="007E164A">
        <w:t xml:space="preserve">  Goal Statement #4 is a culmination of </w:t>
      </w:r>
      <w:r>
        <w:t>that process and is presented as a way forward</w:t>
      </w:r>
      <w:r w:rsidR="007E164A">
        <w:t xml:space="preserve"> </w:t>
      </w:r>
      <w:r w:rsidR="000F5300">
        <w:t>to maximize student transition to postsecondary.</w:t>
      </w:r>
    </w:p>
    <w:p w:rsidR="009B5939" w:rsidRPr="009B5939" w:rsidRDefault="009B5939" w:rsidP="002652A0"/>
    <w:p w:rsidR="009B5939" w:rsidRPr="00BA13B7" w:rsidRDefault="009B5939" w:rsidP="002652A0">
      <w:pPr>
        <w:rPr>
          <w:sz w:val="28"/>
        </w:rPr>
      </w:pPr>
    </w:p>
    <w:p w:rsidR="002652A0" w:rsidRPr="00BA13B7" w:rsidRDefault="002652A0" w:rsidP="002652A0">
      <w:pPr>
        <w:rPr>
          <w:sz w:val="28"/>
        </w:rPr>
        <w:sectPr w:rsidR="002652A0" w:rsidRPr="00BA13B7" w:rsidSect="00C73978">
          <w:pgSz w:w="12240" w:h="15840"/>
          <w:pgMar w:top="1800" w:right="1440" w:bottom="720" w:left="1440" w:header="720" w:footer="720" w:gutter="0"/>
          <w:cols w:space="720"/>
          <w:docGrid w:linePitch="360"/>
        </w:sectPr>
      </w:pPr>
    </w:p>
    <w:p w:rsidR="002652A0" w:rsidRPr="005F214A" w:rsidRDefault="002652A0" w:rsidP="005F214A">
      <w:pPr>
        <w:pStyle w:val="Heading3"/>
        <w:rPr>
          <w:b/>
          <w:color w:val="auto"/>
        </w:rPr>
      </w:pPr>
      <w:bookmarkStart w:id="40" w:name="_Toc10804148"/>
      <w:r w:rsidRPr="005F214A">
        <w:rPr>
          <w:b/>
          <w:color w:val="auto"/>
        </w:rPr>
        <w:lastRenderedPageBreak/>
        <w:t>Figure 1. Logic Model</w:t>
      </w:r>
      <w:bookmarkEnd w:id="40"/>
    </w:p>
    <w:p w:rsidR="002652A0" w:rsidRPr="005F214A" w:rsidRDefault="002652A0" w:rsidP="005F214A">
      <w:pPr>
        <w:pStyle w:val="Heading3"/>
        <w:spacing w:after="120"/>
        <w:rPr>
          <w:i/>
        </w:rPr>
      </w:pPr>
      <w:bookmarkStart w:id="41" w:name="_Toc10804149"/>
      <w:r w:rsidRPr="005F214A">
        <w:rPr>
          <w:i/>
        </w:rPr>
        <w:t>Goal Statement</w:t>
      </w:r>
      <w:r w:rsidR="00692FD2" w:rsidRPr="005F214A">
        <w:rPr>
          <w:i/>
        </w:rPr>
        <w:t xml:space="preserve"> #1</w:t>
      </w:r>
      <w:r w:rsidRPr="005F214A">
        <w:rPr>
          <w:i/>
        </w:rPr>
        <w:t xml:space="preserve">: Increase Persistence </w:t>
      </w:r>
      <w:r w:rsidR="001E691A">
        <w:rPr>
          <w:i/>
        </w:rPr>
        <w:t xml:space="preserve">and Performance </w:t>
      </w:r>
      <w:r w:rsidRPr="005F214A">
        <w:rPr>
          <w:i/>
        </w:rPr>
        <w:t xml:space="preserve">for all </w:t>
      </w:r>
      <w:r w:rsidR="006511A4" w:rsidRPr="005F214A">
        <w:rPr>
          <w:i/>
        </w:rPr>
        <w:t xml:space="preserve">CCAEC </w:t>
      </w:r>
      <w:r w:rsidRPr="005F214A">
        <w:rPr>
          <w:i/>
        </w:rPr>
        <w:t>Students</w:t>
      </w:r>
      <w:bookmarkEnd w:id="41"/>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99"/>
        <w:gridCol w:w="2399"/>
        <w:gridCol w:w="2398"/>
        <w:gridCol w:w="2398"/>
        <w:gridCol w:w="2398"/>
        <w:gridCol w:w="2398"/>
      </w:tblGrid>
      <w:tr w:rsidR="002652A0" w:rsidRPr="00BA13B7" w:rsidTr="001F3BA7">
        <w:trPr>
          <w:trHeight w:val="576"/>
          <w:tblHeader/>
        </w:trPr>
        <w:tc>
          <w:tcPr>
            <w:tcW w:w="2399" w:type="dxa"/>
            <w:shd w:val="clear" w:color="auto" w:fill="002060"/>
            <w:vAlign w:val="center"/>
          </w:tcPr>
          <w:p w:rsidR="002652A0" w:rsidRPr="00BA13B7" w:rsidRDefault="002B330F" w:rsidP="002652A0">
            <w:pPr>
              <w:spacing w:before="120" w:after="120"/>
              <w:jc w:val="center"/>
              <w:rPr>
                <w:rFonts w:cs="Times New Roman"/>
                <w:color w:val="FFFFFF" w:themeColor="background1"/>
              </w:rPr>
            </w:pPr>
            <w:r w:rsidRPr="00BA13B7">
              <w:rPr>
                <w:rFonts w:cs="Times New Roman"/>
                <w:color w:val="FFFFFF" w:themeColor="background1"/>
              </w:rPr>
              <w:t>Inputs</w:t>
            </w:r>
          </w:p>
        </w:tc>
        <w:tc>
          <w:tcPr>
            <w:tcW w:w="2399" w:type="dxa"/>
            <w:shd w:val="clear" w:color="auto" w:fill="7030A0"/>
            <w:vAlign w:val="center"/>
          </w:tcPr>
          <w:p w:rsidR="002652A0" w:rsidRPr="00BA13B7" w:rsidRDefault="002B330F" w:rsidP="002B330F">
            <w:pPr>
              <w:spacing w:before="120" w:after="120"/>
              <w:jc w:val="center"/>
              <w:rPr>
                <w:rFonts w:cs="Times New Roman"/>
                <w:color w:val="FFFFFF" w:themeColor="background1"/>
              </w:rPr>
            </w:pPr>
            <w:r w:rsidRPr="00BA13B7">
              <w:rPr>
                <w:rFonts w:cs="Times New Roman"/>
                <w:color w:val="FFFFFF" w:themeColor="background1"/>
              </w:rPr>
              <w:t>Activities</w:t>
            </w:r>
          </w:p>
        </w:tc>
        <w:tc>
          <w:tcPr>
            <w:tcW w:w="2398" w:type="dxa"/>
            <w:shd w:val="clear" w:color="auto" w:fill="993366"/>
            <w:vAlign w:val="center"/>
          </w:tcPr>
          <w:p w:rsidR="002652A0" w:rsidRPr="00BA13B7" w:rsidRDefault="002B330F" w:rsidP="002B330F">
            <w:pPr>
              <w:spacing w:before="120" w:after="120"/>
              <w:jc w:val="center"/>
              <w:rPr>
                <w:rFonts w:cs="Times New Roman"/>
                <w:color w:val="FFFFFF" w:themeColor="background1"/>
              </w:rPr>
            </w:pPr>
            <w:r w:rsidRPr="00BA13B7">
              <w:rPr>
                <w:rFonts w:cs="Times New Roman"/>
                <w:color w:val="FFFFFF" w:themeColor="background1"/>
              </w:rPr>
              <w:t>Outputs</w:t>
            </w:r>
          </w:p>
        </w:tc>
        <w:tc>
          <w:tcPr>
            <w:tcW w:w="2398" w:type="dxa"/>
            <w:shd w:val="clear" w:color="auto" w:fill="8496B0" w:themeFill="text2" w:themeFillTint="99"/>
            <w:vAlign w:val="center"/>
          </w:tcPr>
          <w:p w:rsidR="002B330F" w:rsidRPr="00BA13B7" w:rsidRDefault="002B330F" w:rsidP="002B330F">
            <w:pPr>
              <w:spacing w:before="120" w:after="120"/>
              <w:jc w:val="center"/>
              <w:rPr>
                <w:rFonts w:cs="Times New Roman"/>
                <w:color w:val="FFFFFF" w:themeColor="background1"/>
              </w:rPr>
            </w:pPr>
            <w:r w:rsidRPr="00BA13B7">
              <w:rPr>
                <w:rFonts w:cs="Times New Roman"/>
                <w:color w:val="FFFFFF" w:themeColor="background1"/>
              </w:rPr>
              <w:t>Immediate (Short-Term) Outcomes</w:t>
            </w:r>
          </w:p>
        </w:tc>
        <w:tc>
          <w:tcPr>
            <w:tcW w:w="2398" w:type="dxa"/>
            <w:shd w:val="clear" w:color="auto" w:fill="C45911" w:themeFill="accent2" w:themeFillShade="BF"/>
            <w:vAlign w:val="center"/>
          </w:tcPr>
          <w:p w:rsidR="002652A0" w:rsidRPr="00BA13B7" w:rsidRDefault="00783BBF" w:rsidP="002B330F">
            <w:pPr>
              <w:spacing w:before="120" w:after="120"/>
              <w:jc w:val="center"/>
              <w:rPr>
                <w:rFonts w:cs="Times New Roman"/>
                <w:color w:val="FFFFFF" w:themeColor="background1"/>
              </w:rPr>
            </w:pPr>
            <w:r w:rsidRPr="00BA13B7">
              <w:rPr>
                <w:rFonts w:cs="Times New Roman"/>
                <w:color w:val="FFFFFF" w:themeColor="background1"/>
              </w:rPr>
              <w:t>Intermediate Outcomes</w:t>
            </w:r>
          </w:p>
        </w:tc>
        <w:tc>
          <w:tcPr>
            <w:tcW w:w="2398" w:type="dxa"/>
            <w:shd w:val="clear" w:color="auto" w:fill="FFC000"/>
            <w:vAlign w:val="center"/>
          </w:tcPr>
          <w:p w:rsidR="00783BBF" w:rsidRPr="00BA13B7" w:rsidRDefault="00783BBF" w:rsidP="00783BBF">
            <w:pPr>
              <w:spacing w:before="120" w:after="120"/>
              <w:jc w:val="center"/>
              <w:rPr>
                <w:rFonts w:cs="Times New Roman"/>
                <w:color w:val="FFFFFF" w:themeColor="background1"/>
              </w:rPr>
            </w:pPr>
            <w:r w:rsidRPr="00BA13B7">
              <w:rPr>
                <w:rFonts w:cs="Times New Roman"/>
                <w:color w:val="FFFFFF" w:themeColor="background1"/>
              </w:rPr>
              <w:t>Long Term Outcomes / Impact</w:t>
            </w:r>
          </w:p>
        </w:tc>
      </w:tr>
      <w:tr w:rsidR="00B732C9" w:rsidRPr="00BA13B7" w:rsidTr="001F3BA7">
        <w:trPr>
          <w:trHeight w:val="576"/>
          <w:tblHeader/>
        </w:trPr>
        <w:tc>
          <w:tcPr>
            <w:tcW w:w="2399" w:type="dxa"/>
            <w:vAlign w:val="center"/>
          </w:tcPr>
          <w:p w:rsidR="00B732C9" w:rsidRPr="00BA13B7" w:rsidRDefault="00B732C9" w:rsidP="00B732C9">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In order to complete our set of activities we will need the following: </w:t>
            </w:r>
          </w:p>
        </w:tc>
        <w:tc>
          <w:tcPr>
            <w:tcW w:w="2399" w:type="dxa"/>
            <w:vAlign w:val="center"/>
          </w:tcPr>
          <w:p w:rsidR="00B732C9" w:rsidRPr="00BA13B7" w:rsidRDefault="00B732C9" w:rsidP="00B732C9">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In order to address our problem or asset we will accomplish  the following activities: </w:t>
            </w:r>
          </w:p>
        </w:tc>
        <w:tc>
          <w:tcPr>
            <w:tcW w:w="2398" w:type="dxa"/>
            <w:vAlign w:val="center"/>
          </w:tcPr>
          <w:p w:rsidR="00B732C9" w:rsidRPr="00BA13B7" w:rsidRDefault="00B732C9" w:rsidP="00B732C9">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We expect that once accomplished, these activities will produce the following evidence or service delivery: </w:t>
            </w:r>
          </w:p>
        </w:tc>
        <w:tc>
          <w:tcPr>
            <w:tcW w:w="2398" w:type="dxa"/>
            <w:vAlign w:val="center"/>
          </w:tcPr>
          <w:p w:rsidR="00B732C9" w:rsidRPr="00BA13B7" w:rsidRDefault="00B732C9" w:rsidP="00B732C9">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the next year:</w:t>
            </w:r>
          </w:p>
        </w:tc>
        <w:tc>
          <w:tcPr>
            <w:tcW w:w="2398" w:type="dxa"/>
            <w:vAlign w:val="center"/>
          </w:tcPr>
          <w:p w:rsidR="00B732C9" w:rsidRPr="00BA13B7" w:rsidRDefault="00B732C9" w:rsidP="00B732C9">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1-3 years:</w:t>
            </w:r>
          </w:p>
        </w:tc>
        <w:tc>
          <w:tcPr>
            <w:tcW w:w="2398" w:type="dxa"/>
            <w:vAlign w:val="center"/>
          </w:tcPr>
          <w:p w:rsidR="00B732C9" w:rsidRPr="00BA13B7" w:rsidRDefault="00B732C9" w:rsidP="00B732C9">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the 3-5 years:</w:t>
            </w:r>
          </w:p>
        </w:tc>
      </w:tr>
      <w:tr w:rsidR="00C44F35" w:rsidRPr="00BA13B7" w:rsidTr="004F6EE8">
        <w:trPr>
          <w:trHeight w:val="4176"/>
        </w:trPr>
        <w:tc>
          <w:tcPr>
            <w:tcW w:w="2399" w:type="dxa"/>
          </w:tcPr>
          <w:p w:rsidR="00C44F35" w:rsidRDefault="00C44F35" w:rsidP="00FD3DD5">
            <w:pPr>
              <w:pStyle w:val="ListParagraph"/>
              <w:numPr>
                <w:ilvl w:val="0"/>
                <w:numId w:val="1"/>
              </w:numPr>
              <w:spacing w:before="120"/>
              <w:ind w:left="247" w:hanging="247"/>
              <w:rPr>
                <w:rFonts w:cs="Times New Roman"/>
                <w:sz w:val="20"/>
              </w:rPr>
            </w:pPr>
            <w:r>
              <w:rPr>
                <w:rFonts w:cs="Times New Roman"/>
                <w:sz w:val="20"/>
              </w:rPr>
              <w:t>Reliable aggregated performance and persistence data (as defined by state) for each member and the consortium as a whole.</w:t>
            </w:r>
          </w:p>
          <w:p w:rsidR="00C44F35" w:rsidRDefault="00C44F35" w:rsidP="00FD3DD5">
            <w:pPr>
              <w:pStyle w:val="ListParagraph"/>
              <w:numPr>
                <w:ilvl w:val="0"/>
                <w:numId w:val="1"/>
              </w:numPr>
              <w:ind w:left="247" w:hanging="247"/>
              <w:rPr>
                <w:rFonts w:cs="Times New Roman"/>
                <w:sz w:val="20"/>
              </w:rPr>
            </w:pPr>
            <w:r>
              <w:rPr>
                <w:rFonts w:cs="Times New Roman"/>
                <w:sz w:val="20"/>
              </w:rPr>
              <w:t>Participation from critical stakeholders: ESL coordinators, faculty, administration, and students.</w:t>
            </w:r>
          </w:p>
          <w:p w:rsidR="00C44F35" w:rsidRDefault="00C44F35" w:rsidP="00FD3DD5">
            <w:pPr>
              <w:pStyle w:val="ListParagraph"/>
              <w:numPr>
                <w:ilvl w:val="0"/>
                <w:numId w:val="1"/>
              </w:numPr>
              <w:ind w:left="247" w:hanging="247"/>
              <w:rPr>
                <w:rFonts w:cs="Times New Roman"/>
                <w:sz w:val="20"/>
              </w:rPr>
            </w:pPr>
            <w:r>
              <w:rPr>
                <w:rFonts w:cs="Times New Roman"/>
                <w:sz w:val="20"/>
              </w:rPr>
              <w:t>Sufficient staff with expertise to create actionable plans and implement activities.</w:t>
            </w:r>
          </w:p>
          <w:p w:rsidR="00C44F35" w:rsidRDefault="00C44F35" w:rsidP="00FD3DD5">
            <w:pPr>
              <w:pStyle w:val="ListParagraph"/>
              <w:numPr>
                <w:ilvl w:val="0"/>
                <w:numId w:val="1"/>
              </w:numPr>
              <w:ind w:left="247" w:hanging="247"/>
              <w:rPr>
                <w:rFonts w:cs="Times New Roman"/>
                <w:sz w:val="20"/>
              </w:rPr>
            </w:pPr>
            <w:r>
              <w:rPr>
                <w:rFonts w:cs="Times New Roman"/>
                <w:sz w:val="20"/>
              </w:rPr>
              <w:t>Financial resources for staff and meetings.</w:t>
            </w:r>
          </w:p>
          <w:p w:rsidR="00C44F35" w:rsidRDefault="00C44F35" w:rsidP="00FD3DD5">
            <w:pPr>
              <w:pStyle w:val="ListParagraph"/>
              <w:numPr>
                <w:ilvl w:val="0"/>
                <w:numId w:val="1"/>
              </w:numPr>
              <w:ind w:left="247" w:hanging="247"/>
              <w:rPr>
                <w:rFonts w:cs="Times New Roman"/>
                <w:sz w:val="20"/>
              </w:rPr>
            </w:pPr>
            <w:r>
              <w:rPr>
                <w:rFonts w:cs="Times New Roman"/>
                <w:sz w:val="20"/>
              </w:rPr>
              <w:t>Sufficient external technical assistance to support staff in plan creation and implementation.</w:t>
            </w:r>
          </w:p>
          <w:p w:rsidR="00C44F35" w:rsidRPr="00361D0D" w:rsidRDefault="00C44F35" w:rsidP="00C44F35">
            <w:pPr>
              <w:rPr>
                <w:rFonts w:cs="Times New Roman"/>
                <w:sz w:val="20"/>
              </w:rPr>
            </w:pPr>
          </w:p>
        </w:tc>
        <w:tc>
          <w:tcPr>
            <w:tcW w:w="2399" w:type="dxa"/>
          </w:tcPr>
          <w:p w:rsidR="00C44F35" w:rsidRDefault="00C44F35" w:rsidP="00FD3DD5">
            <w:pPr>
              <w:pStyle w:val="ListParagraph"/>
              <w:numPr>
                <w:ilvl w:val="0"/>
                <w:numId w:val="2"/>
              </w:numPr>
              <w:spacing w:before="120"/>
              <w:ind w:left="188" w:hanging="188"/>
              <w:rPr>
                <w:rFonts w:cs="Times New Roman"/>
                <w:sz w:val="20"/>
              </w:rPr>
            </w:pPr>
            <w:r>
              <w:rPr>
                <w:rFonts w:cs="Times New Roman"/>
                <w:sz w:val="20"/>
              </w:rPr>
              <w:t>To maximize student persistence, create uniform CCAEC student entry and exit requirements and allow sites flexibility to implement the requirements:</w:t>
            </w:r>
          </w:p>
          <w:p w:rsidR="00C44F35" w:rsidRDefault="00C44F35" w:rsidP="00FD3DD5">
            <w:pPr>
              <w:pStyle w:val="ListParagraph"/>
              <w:numPr>
                <w:ilvl w:val="1"/>
                <w:numId w:val="2"/>
              </w:numPr>
              <w:spacing w:before="120"/>
              <w:ind w:left="458" w:hanging="270"/>
              <w:rPr>
                <w:rFonts w:cs="Times New Roman"/>
                <w:sz w:val="20"/>
              </w:rPr>
            </w:pPr>
            <w:r>
              <w:rPr>
                <w:rFonts w:cs="Times New Roman"/>
                <w:sz w:val="20"/>
              </w:rPr>
              <w:t>ESL Orientation</w:t>
            </w:r>
          </w:p>
          <w:p w:rsidR="00C44F35" w:rsidRDefault="00C44F35" w:rsidP="00FD3DD5">
            <w:pPr>
              <w:pStyle w:val="ListParagraph"/>
              <w:numPr>
                <w:ilvl w:val="1"/>
                <w:numId w:val="2"/>
              </w:numPr>
              <w:spacing w:before="120"/>
              <w:ind w:left="458" w:hanging="270"/>
              <w:rPr>
                <w:rFonts w:cs="Times New Roman"/>
                <w:sz w:val="20"/>
              </w:rPr>
            </w:pPr>
            <w:r>
              <w:rPr>
                <w:rFonts w:cs="Times New Roman"/>
                <w:sz w:val="20"/>
              </w:rPr>
              <w:t>ASE/ABE Orientation</w:t>
            </w:r>
          </w:p>
          <w:p w:rsidR="00C44F35" w:rsidRDefault="00C44F35" w:rsidP="00FD3DD5">
            <w:pPr>
              <w:pStyle w:val="ListParagraph"/>
              <w:numPr>
                <w:ilvl w:val="1"/>
                <w:numId w:val="2"/>
              </w:numPr>
              <w:spacing w:before="120"/>
              <w:ind w:left="458" w:hanging="270"/>
              <w:rPr>
                <w:rFonts w:cs="Times New Roman"/>
                <w:sz w:val="20"/>
              </w:rPr>
            </w:pPr>
            <w:r>
              <w:rPr>
                <w:rFonts w:cs="Times New Roman"/>
                <w:sz w:val="20"/>
              </w:rPr>
              <w:t>Classroom/site exit “check-ins”</w:t>
            </w:r>
          </w:p>
          <w:p w:rsidR="00C44F35" w:rsidRDefault="00C44F35" w:rsidP="00FD3DD5">
            <w:pPr>
              <w:pStyle w:val="ListParagraph"/>
              <w:numPr>
                <w:ilvl w:val="1"/>
                <w:numId w:val="2"/>
              </w:numPr>
              <w:spacing w:before="120"/>
              <w:ind w:left="458" w:hanging="270"/>
              <w:rPr>
                <w:rFonts w:cs="Times New Roman"/>
                <w:sz w:val="20"/>
              </w:rPr>
            </w:pPr>
            <w:r>
              <w:rPr>
                <w:rFonts w:cs="Times New Roman"/>
                <w:sz w:val="20"/>
              </w:rPr>
              <w:t>Exit survey</w:t>
            </w:r>
          </w:p>
          <w:p w:rsidR="00C44F35" w:rsidRDefault="00C44F35" w:rsidP="00FD3DD5">
            <w:pPr>
              <w:pStyle w:val="ListParagraph"/>
              <w:numPr>
                <w:ilvl w:val="0"/>
                <w:numId w:val="2"/>
              </w:numPr>
              <w:spacing w:before="120"/>
              <w:ind w:left="188" w:hanging="188"/>
              <w:rPr>
                <w:rFonts w:cs="Times New Roman"/>
                <w:sz w:val="20"/>
              </w:rPr>
            </w:pPr>
            <w:r>
              <w:rPr>
                <w:rFonts w:cs="Times New Roman"/>
                <w:sz w:val="20"/>
              </w:rPr>
              <w:t>To maximize student performance, create and implement a Professional Development plan at site and consortium level.</w:t>
            </w:r>
          </w:p>
          <w:p w:rsidR="00C44F35" w:rsidRPr="00A8466A" w:rsidRDefault="00C44F35" w:rsidP="00FD3DD5">
            <w:pPr>
              <w:pStyle w:val="ListParagraph"/>
              <w:numPr>
                <w:ilvl w:val="0"/>
                <w:numId w:val="2"/>
              </w:numPr>
              <w:spacing w:before="120" w:after="120"/>
              <w:ind w:left="188" w:hanging="188"/>
              <w:rPr>
                <w:rFonts w:cs="Times New Roman"/>
                <w:sz w:val="20"/>
              </w:rPr>
            </w:pPr>
            <w:r>
              <w:rPr>
                <w:rFonts w:cs="Times New Roman"/>
                <w:sz w:val="20"/>
              </w:rPr>
              <w:t>Continuously monitor effor</w:t>
            </w:r>
            <w:r w:rsidR="007A64F2">
              <w:rPr>
                <w:rFonts w:cs="Times New Roman"/>
                <w:sz w:val="20"/>
              </w:rPr>
              <w:t>ts and data</w:t>
            </w:r>
            <w:r>
              <w:rPr>
                <w:rFonts w:cs="Times New Roman"/>
                <w:sz w:val="20"/>
              </w:rPr>
              <w:t xml:space="preserve"> with TE Coordinators meetings</w:t>
            </w:r>
            <w:r w:rsidR="00A8466A">
              <w:rPr>
                <w:rFonts w:cs="Times New Roman"/>
                <w:sz w:val="20"/>
              </w:rPr>
              <w:t>.</w:t>
            </w:r>
          </w:p>
        </w:tc>
        <w:tc>
          <w:tcPr>
            <w:tcW w:w="2398" w:type="dxa"/>
          </w:tcPr>
          <w:p w:rsidR="00C44F35" w:rsidRPr="00C44F35" w:rsidRDefault="00C44F35" w:rsidP="00C44F35">
            <w:pPr>
              <w:pStyle w:val="ListParagraph"/>
              <w:ind w:left="278"/>
              <w:rPr>
                <w:rFonts w:cs="Times New Roman"/>
                <w:sz w:val="12"/>
              </w:rPr>
            </w:pPr>
          </w:p>
          <w:p w:rsidR="00C44F35" w:rsidRDefault="00C44F35" w:rsidP="00FD3DD5">
            <w:pPr>
              <w:pStyle w:val="ListParagraph"/>
              <w:numPr>
                <w:ilvl w:val="0"/>
                <w:numId w:val="4"/>
              </w:numPr>
              <w:ind w:left="219" w:hanging="219"/>
              <w:rPr>
                <w:rFonts w:cs="Times New Roman"/>
                <w:sz w:val="20"/>
              </w:rPr>
            </w:pPr>
            <w:r>
              <w:rPr>
                <w:rFonts w:cs="Times New Roman"/>
                <w:sz w:val="20"/>
              </w:rPr>
              <w:t>Orientation procedures at the site level.</w:t>
            </w:r>
          </w:p>
          <w:p w:rsidR="00C44F35" w:rsidRDefault="00C44F35" w:rsidP="00FD3DD5">
            <w:pPr>
              <w:pStyle w:val="ListParagraph"/>
              <w:numPr>
                <w:ilvl w:val="0"/>
                <w:numId w:val="4"/>
              </w:numPr>
              <w:ind w:left="219" w:hanging="219"/>
              <w:rPr>
                <w:rFonts w:cs="Times New Roman"/>
                <w:sz w:val="20"/>
              </w:rPr>
            </w:pPr>
            <w:r>
              <w:rPr>
                <w:rFonts w:cs="Times New Roman"/>
                <w:sz w:val="20"/>
              </w:rPr>
              <w:t>Evidence of orientations.</w:t>
            </w:r>
          </w:p>
          <w:p w:rsidR="007A64F2" w:rsidRDefault="007A64F2" w:rsidP="00FD3DD5">
            <w:pPr>
              <w:pStyle w:val="ListParagraph"/>
              <w:numPr>
                <w:ilvl w:val="0"/>
                <w:numId w:val="4"/>
              </w:numPr>
              <w:ind w:left="219" w:hanging="219"/>
              <w:rPr>
                <w:rFonts w:cs="Times New Roman"/>
                <w:sz w:val="20"/>
              </w:rPr>
            </w:pPr>
            <w:r>
              <w:rPr>
                <w:rFonts w:cs="Times New Roman"/>
                <w:sz w:val="20"/>
              </w:rPr>
              <w:t>“Check-in” procedures formalized at the site level.</w:t>
            </w:r>
          </w:p>
          <w:p w:rsidR="007A64F2" w:rsidRDefault="007A64F2" w:rsidP="00FD3DD5">
            <w:pPr>
              <w:pStyle w:val="ListParagraph"/>
              <w:numPr>
                <w:ilvl w:val="0"/>
                <w:numId w:val="4"/>
              </w:numPr>
              <w:ind w:left="219" w:hanging="219"/>
              <w:rPr>
                <w:rFonts w:cs="Times New Roman"/>
                <w:sz w:val="20"/>
              </w:rPr>
            </w:pPr>
            <w:r>
              <w:rPr>
                <w:rFonts w:cs="Times New Roman"/>
                <w:sz w:val="20"/>
              </w:rPr>
              <w:t>Existence of Exit Survey and data from it.</w:t>
            </w:r>
          </w:p>
          <w:p w:rsidR="007A64F2" w:rsidRDefault="007A64F2" w:rsidP="00FD3DD5">
            <w:pPr>
              <w:pStyle w:val="ListParagraph"/>
              <w:numPr>
                <w:ilvl w:val="0"/>
                <w:numId w:val="4"/>
              </w:numPr>
              <w:ind w:left="219" w:hanging="219"/>
              <w:rPr>
                <w:rFonts w:cs="Times New Roman"/>
                <w:sz w:val="20"/>
              </w:rPr>
            </w:pPr>
            <w:r>
              <w:rPr>
                <w:rFonts w:cs="Times New Roman"/>
                <w:sz w:val="20"/>
              </w:rPr>
              <w:t>Calendar of TE Coordination meetings.</w:t>
            </w:r>
          </w:p>
          <w:p w:rsidR="007A64F2" w:rsidRDefault="007A64F2" w:rsidP="00FD3DD5">
            <w:pPr>
              <w:pStyle w:val="ListParagraph"/>
              <w:numPr>
                <w:ilvl w:val="0"/>
                <w:numId w:val="4"/>
              </w:numPr>
              <w:ind w:left="219" w:hanging="219"/>
              <w:rPr>
                <w:rFonts w:cs="Times New Roman"/>
                <w:sz w:val="20"/>
              </w:rPr>
            </w:pPr>
            <w:r>
              <w:rPr>
                <w:rFonts w:cs="Times New Roman"/>
                <w:sz w:val="20"/>
              </w:rPr>
              <w:t>Site and consortium PD plans.</w:t>
            </w:r>
          </w:p>
          <w:p w:rsidR="007A64F2" w:rsidRDefault="007A64F2" w:rsidP="00FD3DD5">
            <w:pPr>
              <w:pStyle w:val="ListParagraph"/>
              <w:numPr>
                <w:ilvl w:val="0"/>
                <w:numId w:val="4"/>
              </w:numPr>
              <w:ind w:left="219" w:hanging="219"/>
              <w:rPr>
                <w:rFonts w:cs="Times New Roman"/>
                <w:sz w:val="20"/>
              </w:rPr>
            </w:pPr>
            <w:r>
              <w:rPr>
                <w:rFonts w:cs="Times New Roman"/>
                <w:sz w:val="20"/>
              </w:rPr>
              <w:t>Evidence of PD meetings (agendas, conference breakout sessions</w:t>
            </w:r>
            <w:r w:rsidR="00A8466A">
              <w:rPr>
                <w:rFonts w:cs="Times New Roman"/>
                <w:sz w:val="20"/>
              </w:rPr>
              <w:t>, etc.)</w:t>
            </w:r>
          </w:p>
          <w:p w:rsidR="00A8466A" w:rsidRDefault="00A8466A" w:rsidP="00FD3DD5">
            <w:pPr>
              <w:pStyle w:val="ListParagraph"/>
              <w:numPr>
                <w:ilvl w:val="0"/>
                <w:numId w:val="4"/>
              </w:numPr>
              <w:ind w:left="219" w:hanging="219"/>
              <w:rPr>
                <w:rFonts w:cs="Times New Roman"/>
                <w:sz w:val="20"/>
              </w:rPr>
            </w:pPr>
            <w:r>
              <w:rPr>
                <w:rFonts w:cs="Times New Roman"/>
                <w:sz w:val="20"/>
              </w:rPr>
              <w:t xml:space="preserve">Survey data from </w:t>
            </w:r>
            <w:r w:rsidR="001A0CCE">
              <w:rPr>
                <w:rFonts w:cs="Times New Roman"/>
                <w:sz w:val="20"/>
              </w:rPr>
              <w:t xml:space="preserve">professional </w:t>
            </w:r>
            <w:r>
              <w:rPr>
                <w:rFonts w:cs="Times New Roman"/>
                <w:sz w:val="20"/>
              </w:rPr>
              <w:t>development participants.</w:t>
            </w:r>
          </w:p>
          <w:p w:rsidR="00A8466A" w:rsidRPr="00BA13B7" w:rsidRDefault="00A8466A" w:rsidP="00FD3DD5">
            <w:pPr>
              <w:pStyle w:val="ListParagraph"/>
              <w:numPr>
                <w:ilvl w:val="0"/>
                <w:numId w:val="4"/>
              </w:numPr>
              <w:ind w:left="219" w:hanging="219"/>
              <w:rPr>
                <w:rFonts w:cs="Times New Roman"/>
                <w:sz w:val="20"/>
              </w:rPr>
            </w:pPr>
            <w:r>
              <w:rPr>
                <w:rFonts w:cs="Times New Roman"/>
                <w:sz w:val="20"/>
              </w:rPr>
              <w:t>TE Coordination agendas and evidence of actionable items completed.</w:t>
            </w:r>
          </w:p>
        </w:tc>
        <w:tc>
          <w:tcPr>
            <w:tcW w:w="2398" w:type="dxa"/>
          </w:tcPr>
          <w:p w:rsidR="00C44F35" w:rsidRPr="00A8466A" w:rsidRDefault="00C44F35" w:rsidP="00C44F35">
            <w:pPr>
              <w:pStyle w:val="ListParagraph"/>
              <w:ind w:left="278"/>
              <w:rPr>
                <w:rFonts w:cs="Times New Roman"/>
                <w:sz w:val="12"/>
              </w:rPr>
            </w:pPr>
          </w:p>
          <w:p w:rsidR="00C44F35" w:rsidRDefault="00A8466A" w:rsidP="00FD3DD5">
            <w:pPr>
              <w:pStyle w:val="ListParagraph"/>
              <w:numPr>
                <w:ilvl w:val="0"/>
                <w:numId w:val="23"/>
              </w:numPr>
              <w:ind w:left="251" w:hanging="270"/>
              <w:rPr>
                <w:rFonts w:cs="Times New Roman"/>
                <w:sz w:val="20"/>
              </w:rPr>
            </w:pPr>
            <w:r>
              <w:rPr>
                <w:rFonts w:cs="Times New Roman"/>
                <w:sz w:val="20"/>
              </w:rPr>
              <w:t>By the end of the 2019-20 school year</w:t>
            </w:r>
            <w:r w:rsidR="000A5BC0">
              <w:rPr>
                <w:rFonts w:cs="Times New Roman"/>
                <w:sz w:val="20"/>
              </w:rPr>
              <w:t>, consortium persistence will increase from 61% to 65%.</w:t>
            </w:r>
          </w:p>
          <w:p w:rsidR="006865B8" w:rsidRPr="00BA13B7" w:rsidRDefault="006865B8" w:rsidP="00FD3DD5">
            <w:pPr>
              <w:pStyle w:val="ListParagraph"/>
              <w:numPr>
                <w:ilvl w:val="0"/>
                <w:numId w:val="23"/>
              </w:numPr>
              <w:ind w:left="251" w:hanging="270"/>
              <w:rPr>
                <w:rFonts w:cs="Times New Roman"/>
                <w:sz w:val="20"/>
              </w:rPr>
            </w:pPr>
            <w:r>
              <w:rPr>
                <w:rFonts w:cs="Times New Roman"/>
                <w:sz w:val="20"/>
              </w:rPr>
              <w:t>By the end of the 2019-20 school year, consortium student performance will increase from 35% to 40%.</w:t>
            </w:r>
          </w:p>
        </w:tc>
        <w:tc>
          <w:tcPr>
            <w:tcW w:w="2398" w:type="dxa"/>
          </w:tcPr>
          <w:p w:rsidR="00C44F35" w:rsidRPr="000A5BC0" w:rsidRDefault="00C44F35" w:rsidP="00C44F35">
            <w:pPr>
              <w:pStyle w:val="ListParagraph"/>
              <w:ind w:left="278"/>
              <w:rPr>
                <w:rFonts w:cs="Times New Roman"/>
                <w:sz w:val="12"/>
              </w:rPr>
            </w:pPr>
          </w:p>
          <w:p w:rsidR="00C44F35" w:rsidRDefault="000A5BC0" w:rsidP="00FD3DD5">
            <w:pPr>
              <w:pStyle w:val="ListParagraph"/>
              <w:numPr>
                <w:ilvl w:val="0"/>
                <w:numId w:val="5"/>
              </w:numPr>
              <w:ind w:left="278" w:hanging="278"/>
              <w:rPr>
                <w:rFonts w:cs="Times New Roman"/>
                <w:sz w:val="20"/>
              </w:rPr>
            </w:pPr>
            <w:r>
              <w:rPr>
                <w:rFonts w:cs="Times New Roman"/>
                <w:sz w:val="20"/>
              </w:rPr>
              <w:t>By the end of the 2021-22 school year, consortium persistence will be 70%.</w:t>
            </w:r>
          </w:p>
          <w:p w:rsidR="006865B8" w:rsidRDefault="006865B8" w:rsidP="00FD3DD5">
            <w:pPr>
              <w:pStyle w:val="ListParagraph"/>
              <w:numPr>
                <w:ilvl w:val="0"/>
                <w:numId w:val="5"/>
              </w:numPr>
              <w:ind w:left="278" w:hanging="278"/>
              <w:rPr>
                <w:rFonts w:cs="Times New Roman"/>
                <w:sz w:val="20"/>
              </w:rPr>
            </w:pPr>
            <w:r>
              <w:rPr>
                <w:rFonts w:cs="Times New Roman"/>
                <w:sz w:val="20"/>
              </w:rPr>
              <w:t>By the end of the 2021-22 school year, consortium student performance will be 50%.</w:t>
            </w:r>
          </w:p>
          <w:p w:rsidR="006865B8" w:rsidRPr="00BA13B7" w:rsidRDefault="006865B8" w:rsidP="006865B8">
            <w:pPr>
              <w:pStyle w:val="ListParagraph"/>
              <w:ind w:left="278"/>
              <w:rPr>
                <w:rFonts w:cs="Times New Roman"/>
                <w:sz w:val="20"/>
              </w:rPr>
            </w:pPr>
          </w:p>
        </w:tc>
        <w:tc>
          <w:tcPr>
            <w:tcW w:w="2398" w:type="dxa"/>
          </w:tcPr>
          <w:p w:rsidR="00C44F35" w:rsidRPr="000A5BC0" w:rsidRDefault="00C44F35" w:rsidP="00C44F35">
            <w:pPr>
              <w:pStyle w:val="ListParagraph"/>
              <w:ind w:left="278"/>
              <w:rPr>
                <w:rFonts w:cs="Times New Roman"/>
                <w:sz w:val="12"/>
              </w:rPr>
            </w:pPr>
          </w:p>
          <w:p w:rsidR="00C44F35" w:rsidRDefault="000A5BC0" w:rsidP="00FD3DD5">
            <w:pPr>
              <w:pStyle w:val="ListParagraph"/>
              <w:numPr>
                <w:ilvl w:val="0"/>
                <w:numId w:val="6"/>
              </w:numPr>
              <w:ind w:left="225" w:hanging="225"/>
              <w:rPr>
                <w:rFonts w:cs="Times New Roman"/>
                <w:sz w:val="20"/>
              </w:rPr>
            </w:pPr>
            <w:r>
              <w:rPr>
                <w:rFonts w:cs="Times New Roman"/>
                <w:sz w:val="20"/>
              </w:rPr>
              <w:t xml:space="preserve">Beyond the 2021-22 school year consortium persistence will be at 75% or higher. </w:t>
            </w:r>
          </w:p>
          <w:p w:rsidR="006865B8" w:rsidRPr="00BA13B7" w:rsidRDefault="006865B8" w:rsidP="00FD3DD5">
            <w:pPr>
              <w:pStyle w:val="ListParagraph"/>
              <w:numPr>
                <w:ilvl w:val="0"/>
                <w:numId w:val="6"/>
              </w:numPr>
              <w:ind w:left="225" w:hanging="225"/>
              <w:rPr>
                <w:rFonts w:cs="Times New Roman"/>
                <w:sz w:val="20"/>
              </w:rPr>
            </w:pPr>
            <w:r>
              <w:rPr>
                <w:rFonts w:cs="Times New Roman"/>
                <w:sz w:val="20"/>
              </w:rPr>
              <w:t>Beyond the 2021-22 school year, consortium student performance will be at 55% or higher.</w:t>
            </w:r>
          </w:p>
        </w:tc>
      </w:tr>
    </w:tbl>
    <w:p w:rsidR="00F016F7" w:rsidRDefault="00F016F7" w:rsidP="002652A0">
      <w:pPr>
        <w:spacing w:after="0"/>
        <w:rPr>
          <w:rFonts w:cs="Times New Roman"/>
          <w:sz w:val="12"/>
          <w:szCs w:val="8"/>
        </w:rPr>
      </w:pPr>
    </w:p>
    <w:p w:rsidR="00F016F7" w:rsidRDefault="00F016F7" w:rsidP="00F016F7">
      <w:r>
        <w:br w:type="page"/>
      </w:r>
    </w:p>
    <w:p w:rsidR="002652A0" w:rsidRPr="00BA13B7" w:rsidRDefault="002652A0" w:rsidP="002652A0">
      <w:pPr>
        <w:spacing w:after="0"/>
        <w:rPr>
          <w:rFonts w:cs="Times New Roman"/>
          <w:sz w:val="12"/>
          <w:szCs w:val="8"/>
        </w:rPr>
      </w:pPr>
    </w:p>
    <w:tbl>
      <w:tblPr>
        <w:tblStyle w:val="TableGrid"/>
        <w:tblW w:w="144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98"/>
        <w:gridCol w:w="7192"/>
        <w:gridCol w:w="10"/>
      </w:tblGrid>
      <w:tr w:rsidR="002652A0" w:rsidRPr="00BA13B7" w:rsidTr="001F3BA7">
        <w:trPr>
          <w:gridAfter w:val="1"/>
          <w:wAfter w:w="10" w:type="dxa"/>
          <w:trHeight w:val="288"/>
        </w:trPr>
        <w:tc>
          <w:tcPr>
            <w:tcW w:w="7195" w:type="dxa"/>
            <w:shd w:val="clear" w:color="auto" w:fill="808080" w:themeFill="background1" w:themeFillShade="80"/>
            <w:vAlign w:val="center"/>
          </w:tcPr>
          <w:p w:rsidR="002652A0" w:rsidRPr="00BA13B7" w:rsidRDefault="001F3BA7" w:rsidP="001F3BA7">
            <w:pPr>
              <w:spacing w:before="120" w:after="120"/>
              <w:jc w:val="center"/>
              <w:rPr>
                <w:rFonts w:cs="Times New Roman"/>
                <w:color w:val="FFFFFF" w:themeColor="background1"/>
              </w:rPr>
            </w:pPr>
            <w:r w:rsidRPr="00BA13B7">
              <w:rPr>
                <w:rFonts w:cs="Times New Roman"/>
                <w:color w:val="FFFFFF" w:themeColor="background1"/>
              </w:rPr>
              <w:t>Assumptions</w:t>
            </w:r>
          </w:p>
        </w:tc>
        <w:tc>
          <w:tcPr>
            <w:tcW w:w="7195" w:type="dxa"/>
            <w:shd w:val="clear" w:color="auto" w:fill="808080" w:themeFill="background1" w:themeFillShade="80"/>
            <w:vAlign w:val="center"/>
          </w:tcPr>
          <w:p w:rsidR="002652A0" w:rsidRPr="00BA13B7" w:rsidRDefault="001F3BA7" w:rsidP="001F3BA7">
            <w:pPr>
              <w:spacing w:before="120" w:after="120"/>
              <w:jc w:val="center"/>
              <w:rPr>
                <w:rFonts w:cs="Times New Roman"/>
                <w:color w:val="FFFFFF" w:themeColor="background1"/>
              </w:rPr>
            </w:pPr>
            <w:r w:rsidRPr="00BA13B7">
              <w:rPr>
                <w:rFonts w:cs="Times New Roman"/>
                <w:color w:val="FFFFFF" w:themeColor="background1"/>
              </w:rPr>
              <w:t>External Factors</w:t>
            </w:r>
          </w:p>
        </w:tc>
      </w:tr>
      <w:tr w:rsidR="002652A0" w:rsidRPr="00BA13B7" w:rsidTr="001F3BA7">
        <w:trPr>
          <w:trHeight w:val="1296"/>
        </w:trPr>
        <w:tc>
          <w:tcPr>
            <w:tcW w:w="7200" w:type="dxa"/>
            <w:vAlign w:val="center"/>
          </w:tcPr>
          <w:p w:rsidR="00984303" w:rsidRDefault="00984303" w:rsidP="00FD3DD5">
            <w:pPr>
              <w:pStyle w:val="ListParagraph"/>
              <w:numPr>
                <w:ilvl w:val="0"/>
                <w:numId w:val="30"/>
              </w:numPr>
              <w:spacing w:before="120" w:after="120"/>
            </w:pPr>
            <w:r>
              <w:t>While requirements are consortium-wide, i</w:t>
            </w:r>
            <w:r w:rsidR="00F016F7">
              <w:t xml:space="preserve">nstitutional autonomy is a core value for CCAEC: orientation, check-in, and exit procedures will be </w:t>
            </w:r>
            <w:r>
              <w:t>flexibly implemented at the member</w:t>
            </w:r>
            <w:r w:rsidR="00F016F7">
              <w:t xml:space="preserve"> </w:t>
            </w:r>
            <w:r>
              <w:t>level.</w:t>
            </w:r>
          </w:p>
          <w:p w:rsidR="002652A0" w:rsidRPr="00BA13B7" w:rsidRDefault="00CA43DD" w:rsidP="00FD3DD5">
            <w:pPr>
              <w:pStyle w:val="ListParagraph"/>
              <w:numPr>
                <w:ilvl w:val="0"/>
                <w:numId w:val="30"/>
              </w:numPr>
              <w:spacing w:before="120" w:after="120"/>
            </w:pPr>
            <w:r>
              <w:t>PD at the two consortium conferences</w:t>
            </w:r>
            <w:r w:rsidR="00F016F7">
              <w:t xml:space="preserve"> </w:t>
            </w:r>
            <w:r>
              <w:t>per year will align with persistence and performance goals for the consortium.</w:t>
            </w:r>
          </w:p>
        </w:tc>
        <w:tc>
          <w:tcPr>
            <w:tcW w:w="7200" w:type="dxa"/>
            <w:gridSpan w:val="2"/>
            <w:vAlign w:val="center"/>
          </w:tcPr>
          <w:p w:rsidR="002652A0" w:rsidRPr="00BA13B7" w:rsidRDefault="00984303" w:rsidP="00FD3DD5">
            <w:pPr>
              <w:pStyle w:val="ListParagraph"/>
              <w:numPr>
                <w:ilvl w:val="0"/>
                <w:numId w:val="31"/>
              </w:numPr>
              <w:spacing w:before="120" w:after="120"/>
            </w:pPr>
            <w:r>
              <w:t>K-12 population is more migratory and in flux. This transitional nature</w:t>
            </w:r>
            <w:r w:rsidR="00CA43DD">
              <w:t xml:space="preserve"> means</w:t>
            </w:r>
            <w:r>
              <w:t xml:space="preserve"> inherent barriers to tackling persistence</w:t>
            </w:r>
            <w:r w:rsidR="00CA43DD">
              <w:t xml:space="preserve"> exist.</w:t>
            </w:r>
          </w:p>
        </w:tc>
      </w:tr>
    </w:tbl>
    <w:p w:rsidR="002652A0" w:rsidRPr="00BA13B7" w:rsidRDefault="002652A0" w:rsidP="001F3BA7">
      <w:pPr>
        <w:spacing w:before="120" w:after="120"/>
      </w:pPr>
    </w:p>
    <w:p w:rsidR="001F3BA7" w:rsidRPr="00BA13B7" w:rsidRDefault="001F3BA7" w:rsidP="001F3BA7">
      <w:pPr>
        <w:spacing w:before="120" w:after="120"/>
      </w:pPr>
    </w:p>
    <w:p w:rsidR="00361D0D" w:rsidRDefault="00361D0D">
      <w:pPr>
        <w:rPr>
          <w:rFonts w:asciiTheme="majorHAnsi" w:eastAsiaTheme="majorEastAsia" w:hAnsiTheme="majorHAnsi" w:cstheme="majorBidi"/>
          <w:i/>
          <w:color w:val="1F4D78" w:themeColor="accent1" w:themeShade="7F"/>
          <w:sz w:val="24"/>
          <w:szCs w:val="24"/>
        </w:rPr>
      </w:pPr>
      <w:r>
        <w:rPr>
          <w:i/>
        </w:rPr>
        <w:br w:type="page"/>
      </w:r>
    </w:p>
    <w:p w:rsidR="001F3BA7" w:rsidRPr="005F214A" w:rsidRDefault="00692FD2" w:rsidP="005F214A">
      <w:pPr>
        <w:pStyle w:val="Heading3"/>
        <w:spacing w:after="120"/>
        <w:rPr>
          <w:i/>
        </w:rPr>
      </w:pPr>
      <w:bookmarkStart w:id="42" w:name="_Toc10804150"/>
      <w:r w:rsidRPr="005F214A">
        <w:rPr>
          <w:i/>
        </w:rPr>
        <w:lastRenderedPageBreak/>
        <w:t xml:space="preserve">Goal </w:t>
      </w:r>
      <w:r w:rsidR="001F3BA7" w:rsidRPr="005F214A">
        <w:rPr>
          <w:i/>
        </w:rPr>
        <w:t>Statement</w:t>
      </w:r>
      <w:r w:rsidRPr="005F214A">
        <w:rPr>
          <w:i/>
        </w:rPr>
        <w:t xml:space="preserve"> #2</w:t>
      </w:r>
      <w:r w:rsidR="001F3BA7" w:rsidRPr="005F214A">
        <w:rPr>
          <w:i/>
        </w:rPr>
        <w:t xml:space="preserve">: </w:t>
      </w:r>
      <w:r w:rsidRPr="005F214A">
        <w:rPr>
          <w:i/>
        </w:rPr>
        <w:t>Create</w:t>
      </w:r>
      <w:r w:rsidR="00477D2C">
        <w:rPr>
          <w:i/>
        </w:rPr>
        <w:t xml:space="preserve"> and Implement Regional Employment</w:t>
      </w:r>
      <w:r w:rsidRPr="005F214A">
        <w:rPr>
          <w:i/>
        </w:rPr>
        <w:t xml:space="preserve"> </w:t>
      </w:r>
      <w:r w:rsidR="00477D2C">
        <w:rPr>
          <w:i/>
        </w:rPr>
        <w:t xml:space="preserve">Training Plan </w:t>
      </w:r>
      <w:r w:rsidR="00CA4E28">
        <w:rPr>
          <w:i/>
        </w:rPr>
        <w:t>(</w:t>
      </w:r>
      <w:r w:rsidR="004E305C">
        <w:rPr>
          <w:i/>
        </w:rPr>
        <w:t>RETP</w:t>
      </w:r>
      <w:r w:rsidR="00CA4E28">
        <w:rPr>
          <w:i/>
        </w:rPr>
        <w:t>)</w:t>
      </w:r>
      <w:r w:rsidR="00477D2C">
        <w:rPr>
          <w:i/>
        </w:rPr>
        <w:t xml:space="preserve"> to increase</w:t>
      </w:r>
      <w:r w:rsidR="00600FBD">
        <w:rPr>
          <w:i/>
        </w:rPr>
        <w:t xml:space="preserve"> leverage funds and serve industry</w:t>
      </w:r>
      <w:bookmarkEnd w:id="4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99"/>
        <w:gridCol w:w="2399"/>
        <w:gridCol w:w="2398"/>
        <w:gridCol w:w="2398"/>
        <w:gridCol w:w="2398"/>
        <w:gridCol w:w="2398"/>
      </w:tblGrid>
      <w:tr w:rsidR="001F3BA7" w:rsidRPr="00BA13B7" w:rsidTr="00CA0D8E">
        <w:trPr>
          <w:trHeight w:val="576"/>
          <w:tblHeader/>
        </w:trPr>
        <w:tc>
          <w:tcPr>
            <w:tcW w:w="2399" w:type="dxa"/>
            <w:shd w:val="clear" w:color="auto" w:fill="00206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Inputs</w:t>
            </w:r>
          </w:p>
        </w:tc>
        <w:tc>
          <w:tcPr>
            <w:tcW w:w="2399" w:type="dxa"/>
            <w:shd w:val="clear" w:color="auto" w:fill="7030A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Activities</w:t>
            </w:r>
          </w:p>
        </w:tc>
        <w:tc>
          <w:tcPr>
            <w:tcW w:w="2398" w:type="dxa"/>
            <w:shd w:val="clear" w:color="auto" w:fill="993366"/>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Outputs</w:t>
            </w:r>
          </w:p>
        </w:tc>
        <w:tc>
          <w:tcPr>
            <w:tcW w:w="2398" w:type="dxa"/>
            <w:shd w:val="clear" w:color="auto" w:fill="8496B0" w:themeFill="text2" w:themeFillTint="99"/>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Immediate (Short-Term) Outcomes</w:t>
            </w:r>
          </w:p>
        </w:tc>
        <w:tc>
          <w:tcPr>
            <w:tcW w:w="2398" w:type="dxa"/>
            <w:shd w:val="clear" w:color="auto" w:fill="C45911" w:themeFill="accent2" w:themeFillShade="BF"/>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Intermediate Outcomes</w:t>
            </w:r>
          </w:p>
        </w:tc>
        <w:tc>
          <w:tcPr>
            <w:tcW w:w="2398" w:type="dxa"/>
            <w:shd w:val="clear" w:color="auto" w:fill="FFC00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Long Term Outcomes / Impact</w:t>
            </w:r>
          </w:p>
        </w:tc>
      </w:tr>
      <w:tr w:rsidR="001F3BA7" w:rsidRPr="00BA13B7" w:rsidTr="00CA0D8E">
        <w:trPr>
          <w:trHeight w:val="576"/>
          <w:tblHeader/>
        </w:trPr>
        <w:tc>
          <w:tcPr>
            <w:tcW w:w="2399" w:type="dxa"/>
            <w:vAlign w:val="center"/>
          </w:tcPr>
          <w:p w:rsidR="001F3BA7" w:rsidRPr="00BA13B7" w:rsidRDefault="001F3BA7" w:rsidP="00CA0D8E">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In order to complete our set of activities we will need the following: </w:t>
            </w:r>
          </w:p>
        </w:tc>
        <w:tc>
          <w:tcPr>
            <w:tcW w:w="2399" w:type="dxa"/>
            <w:vAlign w:val="center"/>
          </w:tcPr>
          <w:p w:rsidR="001F3BA7" w:rsidRPr="00BA13B7" w:rsidRDefault="001F3BA7" w:rsidP="00CA0D8E">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In order to address our problem or asset we will accomplish  the following activities: </w:t>
            </w:r>
          </w:p>
        </w:tc>
        <w:tc>
          <w:tcPr>
            <w:tcW w:w="2398" w:type="dxa"/>
            <w:vAlign w:val="center"/>
          </w:tcPr>
          <w:p w:rsidR="001F3BA7" w:rsidRPr="00BA13B7" w:rsidRDefault="001F3BA7" w:rsidP="00CA0D8E">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We expect that once accomplished, these activities will produce the following evidence or service delivery: </w:t>
            </w:r>
          </w:p>
        </w:tc>
        <w:tc>
          <w:tcPr>
            <w:tcW w:w="2398" w:type="dxa"/>
            <w:vAlign w:val="center"/>
          </w:tcPr>
          <w:p w:rsidR="001F3BA7" w:rsidRPr="00BA13B7" w:rsidRDefault="001F3BA7" w:rsidP="00CA0D8E">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the next year:</w:t>
            </w:r>
          </w:p>
        </w:tc>
        <w:tc>
          <w:tcPr>
            <w:tcW w:w="2398" w:type="dxa"/>
            <w:vAlign w:val="center"/>
          </w:tcPr>
          <w:p w:rsidR="001F3BA7" w:rsidRPr="00BA13B7" w:rsidRDefault="001F3BA7" w:rsidP="00CA0D8E">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1-3 years:</w:t>
            </w:r>
          </w:p>
        </w:tc>
        <w:tc>
          <w:tcPr>
            <w:tcW w:w="2398" w:type="dxa"/>
            <w:vAlign w:val="center"/>
          </w:tcPr>
          <w:p w:rsidR="001F3BA7" w:rsidRPr="00BA13B7" w:rsidRDefault="001F3BA7" w:rsidP="00CA0D8E">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the 3-5 years:</w:t>
            </w:r>
          </w:p>
        </w:tc>
      </w:tr>
      <w:tr w:rsidR="00CA4E28" w:rsidRPr="00BA13B7" w:rsidTr="004F6EE8">
        <w:trPr>
          <w:trHeight w:val="4176"/>
        </w:trPr>
        <w:tc>
          <w:tcPr>
            <w:tcW w:w="2399" w:type="dxa"/>
          </w:tcPr>
          <w:p w:rsidR="00CA4E28" w:rsidRPr="00053E8E" w:rsidRDefault="00CA4E28" w:rsidP="00CA4E28">
            <w:pPr>
              <w:pStyle w:val="ListParagraph"/>
              <w:ind w:left="337"/>
              <w:rPr>
                <w:rFonts w:cs="Times New Roman"/>
                <w:sz w:val="12"/>
              </w:rPr>
            </w:pPr>
          </w:p>
          <w:p w:rsidR="00CA4E28" w:rsidRDefault="00CA4E28" w:rsidP="00FD3DD5">
            <w:pPr>
              <w:pStyle w:val="ListParagraph"/>
              <w:numPr>
                <w:ilvl w:val="0"/>
                <w:numId w:val="20"/>
              </w:numPr>
              <w:ind w:left="247" w:hanging="247"/>
              <w:rPr>
                <w:rFonts w:cs="Times New Roman"/>
                <w:sz w:val="20"/>
              </w:rPr>
            </w:pPr>
            <w:r>
              <w:rPr>
                <w:rFonts w:cs="Times New Roman"/>
                <w:sz w:val="20"/>
              </w:rPr>
              <w:t>Reliable data to inform and drive process.</w:t>
            </w:r>
          </w:p>
          <w:p w:rsidR="00CA4E28" w:rsidRDefault="00CA4E28" w:rsidP="00FD3DD5">
            <w:pPr>
              <w:pStyle w:val="ListParagraph"/>
              <w:numPr>
                <w:ilvl w:val="0"/>
                <w:numId w:val="20"/>
              </w:numPr>
              <w:ind w:left="247" w:hanging="247"/>
              <w:rPr>
                <w:rFonts w:cs="Times New Roman"/>
                <w:sz w:val="20"/>
              </w:rPr>
            </w:pPr>
            <w:r>
              <w:rPr>
                <w:rFonts w:cs="Times New Roman"/>
                <w:sz w:val="20"/>
              </w:rPr>
              <w:t>Participation from critical stakeholders: industry, WDBs, AJCCs, students, and faculty.</w:t>
            </w:r>
          </w:p>
          <w:p w:rsidR="00CA4E28" w:rsidRDefault="00CA4E28" w:rsidP="00FD3DD5">
            <w:pPr>
              <w:pStyle w:val="ListParagraph"/>
              <w:numPr>
                <w:ilvl w:val="0"/>
                <w:numId w:val="20"/>
              </w:numPr>
              <w:ind w:left="247" w:hanging="247"/>
              <w:rPr>
                <w:rFonts w:cs="Times New Roman"/>
                <w:sz w:val="20"/>
              </w:rPr>
            </w:pPr>
            <w:r>
              <w:rPr>
                <w:rFonts w:cs="Times New Roman"/>
                <w:sz w:val="20"/>
              </w:rPr>
              <w:t xml:space="preserve">Sufficient staff with expertise to create and implement </w:t>
            </w:r>
            <w:r w:rsidR="004E305C">
              <w:rPr>
                <w:rFonts w:cs="Times New Roman"/>
                <w:sz w:val="20"/>
              </w:rPr>
              <w:t>RETP</w:t>
            </w:r>
            <w:r>
              <w:rPr>
                <w:rFonts w:cs="Times New Roman"/>
                <w:sz w:val="20"/>
              </w:rPr>
              <w:t>.</w:t>
            </w:r>
          </w:p>
          <w:p w:rsidR="00CA4E28" w:rsidRDefault="00CA4E28" w:rsidP="00FD3DD5">
            <w:pPr>
              <w:pStyle w:val="ListParagraph"/>
              <w:numPr>
                <w:ilvl w:val="0"/>
                <w:numId w:val="20"/>
              </w:numPr>
              <w:ind w:left="247" w:hanging="247"/>
              <w:rPr>
                <w:rFonts w:cs="Times New Roman"/>
                <w:sz w:val="20"/>
              </w:rPr>
            </w:pPr>
            <w:r>
              <w:rPr>
                <w:rFonts w:cs="Times New Roman"/>
                <w:sz w:val="20"/>
              </w:rPr>
              <w:t>Financial resources for staff and meetings.</w:t>
            </w:r>
          </w:p>
          <w:p w:rsidR="00CA4E28" w:rsidRPr="00BA13B7" w:rsidRDefault="00CA4E28" w:rsidP="00FD3DD5">
            <w:pPr>
              <w:pStyle w:val="ListParagraph"/>
              <w:numPr>
                <w:ilvl w:val="0"/>
                <w:numId w:val="20"/>
              </w:numPr>
              <w:ind w:left="247" w:hanging="247"/>
              <w:rPr>
                <w:rFonts w:cs="Times New Roman"/>
                <w:sz w:val="20"/>
              </w:rPr>
            </w:pPr>
            <w:r>
              <w:rPr>
                <w:rFonts w:cs="Times New Roman"/>
                <w:sz w:val="20"/>
              </w:rPr>
              <w:t>Sufficient external technical assistance to support staff in program creation and implementation.</w:t>
            </w:r>
          </w:p>
        </w:tc>
        <w:tc>
          <w:tcPr>
            <w:tcW w:w="2399" w:type="dxa"/>
          </w:tcPr>
          <w:p w:rsidR="00053E8E" w:rsidRPr="00053E8E" w:rsidRDefault="00053E8E" w:rsidP="00053E8E">
            <w:pPr>
              <w:pStyle w:val="ListParagraph"/>
              <w:spacing w:before="120"/>
              <w:ind w:left="188"/>
              <w:rPr>
                <w:rFonts w:cs="Times New Roman"/>
                <w:sz w:val="12"/>
              </w:rPr>
            </w:pPr>
          </w:p>
          <w:p w:rsidR="00053E8E" w:rsidRDefault="00053E8E" w:rsidP="00FD3DD5">
            <w:pPr>
              <w:pStyle w:val="ListParagraph"/>
              <w:numPr>
                <w:ilvl w:val="0"/>
                <w:numId w:val="24"/>
              </w:numPr>
              <w:spacing w:before="120"/>
              <w:ind w:left="188" w:hanging="180"/>
              <w:rPr>
                <w:rFonts w:cs="Times New Roman"/>
                <w:sz w:val="20"/>
              </w:rPr>
            </w:pPr>
            <w:r>
              <w:rPr>
                <w:rFonts w:cs="Times New Roman"/>
                <w:sz w:val="20"/>
              </w:rPr>
              <w:t>Data-driven planning sessions with stakeholders to be completed by October 1, 2019:</w:t>
            </w:r>
          </w:p>
          <w:p w:rsidR="00B12C5D" w:rsidRDefault="00B12C5D" w:rsidP="00FD3DD5">
            <w:pPr>
              <w:pStyle w:val="ListParagraph"/>
              <w:numPr>
                <w:ilvl w:val="1"/>
                <w:numId w:val="24"/>
              </w:numPr>
              <w:spacing w:before="120"/>
              <w:ind w:left="458" w:hanging="270"/>
              <w:rPr>
                <w:rFonts w:cs="Times New Roman"/>
                <w:sz w:val="20"/>
              </w:rPr>
            </w:pPr>
            <w:r>
              <w:rPr>
                <w:rFonts w:cs="Times New Roman"/>
                <w:sz w:val="20"/>
              </w:rPr>
              <w:t>Data would include input from Advisory Boards.</w:t>
            </w:r>
          </w:p>
          <w:p w:rsidR="00053E8E" w:rsidRDefault="00053E8E" w:rsidP="00FD3DD5">
            <w:pPr>
              <w:pStyle w:val="ListParagraph"/>
              <w:numPr>
                <w:ilvl w:val="1"/>
                <w:numId w:val="24"/>
              </w:numPr>
              <w:spacing w:before="120"/>
              <w:ind w:left="458" w:hanging="270"/>
              <w:rPr>
                <w:rFonts w:cs="Times New Roman"/>
                <w:sz w:val="20"/>
              </w:rPr>
            </w:pPr>
            <w:r>
              <w:rPr>
                <w:rFonts w:cs="Times New Roman"/>
                <w:sz w:val="20"/>
              </w:rPr>
              <w:t>Sectors and programs strategically located at schools across the consortium.</w:t>
            </w:r>
          </w:p>
          <w:p w:rsidR="00053E8E" w:rsidRDefault="00B12C5D" w:rsidP="00FD3DD5">
            <w:pPr>
              <w:pStyle w:val="ListParagraph"/>
              <w:numPr>
                <w:ilvl w:val="1"/>
                <w:numId w:val="24"/>
              </w:numPr>
              <w:spacing w:before="120"/>
              <w:ind w:left="458" w:hanging="270"/>
              <w:rPr>
                <w:rFonts w:cs="Times New Roman"/>
                <w:sz w:val="20"/>
              </w:rPr>
            </w:pPr>
            <w:r>
              <w:rPr>
                <w:rFonts w:cs="Times New Roman"/>
                <w:sz w:val="20"/>
              </w:rPr>
              <w:t>Budgets for new program would include</w:t>
            </w:r>
            <w:r w:rsidR="00053E8E">
              <w:rPr>
                <w:rFonts w:cs="Times New Roman"/>
                <w:sz w:val="20"/>
              </w:rPr>
              <w:t xml:space="preserve"> </w:t>
            </w:r>
            <w:r>
              <w:rPr>
                <w:rFonts w:cs="Times New Roman"/>
                <w:sz w:val="20"/>
              </w:rPr>
              <w:t>personnel and capital expenditures.</w:t>
            </w:r>
          </w:p>
          <w:p w:rsidR="00B12C5D" w:rsidRDefault="00B12C5D" w:rsidP="00FD3DD5">
            <w:pPr>
              <w:pStyle w:val="ListParagraph"/>
              <w:numPr>
                <w:ilvl w:val="1"/>
                <w:numId w:val="24"/>
              </w:numPr>
              <w:spacing w:before="120"/>
              <w:ind w:left="458" w:hanging="270"/>
              <w:rPr>
                <w:rFonts w:cs="Times New Roman"/>
                <w:sz w:val="20"/>
              </w:rPr>
            </w:pPr>
            <w:r>
              <w:rPr>
                <w:rFonts w:cs="Times New Roman"/>
                <w:sz w:val="20"/>
              </w:rPr>
              <w:t>Identified cohort funding from AJCCs or county.</w:t>
            </w:r>
          </w:p>
          <w:p w:rsidR="00B12C5D" w:rsidRDefault="00B12C5D" w:rsidP="00FD3DD5">
            <w:pPr>
              <w:pStyle w:val="ListParagraph"/>
              <w:numPr>
                <w:ilvl w:val="0"/>
                <w:numId w:val="24"/>
              </w:numPr>
              <w:spacing w:before="120"/>
              <w:ind w:left="188" w:hanging="180"/>
              <w:rPr>
                <w:rFonts w:cs="Times New Roman"/>
                <w:sz w:val="20"/>
              </w:rPr>
            </w:pPr>
            <w:r>
              <w:rPr>
                <w:rFonts w:cs="Times New Roman"/>
                <w:sz w:val="20"/>
              </w:rPr>
              <w:t>Plan implementation and monitoring:</w:t>
            </w:r>
          </w:p>
          <w:p w:rsidR="00B12C5D" w:rsidRDefault="00B12C5D" w:rsidP="00FD3DD5">
            <w:pPr>
              <w:pStyle w:val="ListParagraph"/>
              <w:numPr>
                <w:ilvl w:val="1"/>
                <w:numId w:val="24"/>
              </w:numPr>
              <w:spacing w:before="120"/>
              <w:ind w:left="458" w:hanging="270"/>
              <w:rPr>
                <w:rFonts w:cs="Times New Roman"/>
                <w:sz w:val="20"/>
              </w:rPr>
            </w:pPr>
            <w:r>
              <w:rPr>
                <w:rFonts w:cs="Times New Roman"/>
                <w:sz w:val="20"/>
              </w:rPr>
              <w:t>Continuous collection of current CTE student enrollment.</w:t>
            </w:r>
          </w:p>
          <w:p w:rsidR="00B12C5D" w:rsidRPr="00BA13B7" w:rsidRDefault="00B12C5D" w:rsidP="00FD3DD5">
            <w:pPr>
              <w:pStyle w:val="ListParagraph"/>
              <w:numPr>
                <w:ilvl w:val="1"/>
                <w:numId w:val="24"/>
              </w:numPr>
              <w:spacing w:before="120"/>
              <w:ind w:left="458" w:hanging="270"/>
              <w:rPr>
                <w:rFonts w:cs="Times New Roman"/>
                <w:sz w:val="20"/>
              </w:rPr>
            </w:pPr>
            <w:r>
              <w:rPr>
                <w:rFonts w:cs="Times New Roman"/>
                <w:sz w:val="20"/>
              </w:rPr>
              <w:t>Job placement data.</w:t>
            </w:r>
          </w:p>
        </w:tc>
        <w:tc>
          <w:tcPr>
            <w:tcW w:w="2398" w:type="dxa"/>
          </w:tcPr>
          <w:p w:rsidR="00CA4E28" w:rsidRPr="00053E8E" w:rsidRDefault="00CA4E28" w:rsidP="00053E8E">
            <w:pPr>
              <w:pStyle w:val="ListParagraph"/>
              <w:ind w:left="278"/>
              <w:rPr>
                <w:rFonts w:cs="Times New Roman"/>
                <w:sz w:val="12"/>
              </w:rPr>
            </w:pPr>
          </w:p>
          <w:p w:rsidR="00053E8E" w:rsidRDefault="00B12C5D" w:rsidP="00FD3DD5">
            <w:pPr>
              <w:pStyle w:val="ListParagraph"/>
              <w:numPr>
                <w:ilvl w:val="0"/>
                <w:numId w:val="3"/>
              </w:numPr>
              <w:ind w:left="278" w:hanging="278"/>
              <w:rPr>
                <w:rFonts w:cs="Times New Roman"/>
                <w:sz w:val="20"/>
              </w:rPr>
            </w:pPr>
            <w:r>
              <w:rPr>
                <w:rFonts w:cs="Times New Roman"/>
                <w:sz w:val="20"/>
              </w:rPr>
              <w:t>The Regional Employment Training Plan would be on consortium website and made available to all stakeholders.</w:t>
            </w:r>
          </w:p>
          <w:p w:rsidR="00B12C5D" w:rsidRDefault="00B12C5D" w:rsidP="00FD3DD5">
            <w:pPr>
              <w:pStyle w:val="ListParagraph"/>
              <w:numPr>
                <w:ilvl w:val="0"/>
                <w:numId w:val="3"/>
              </w:numPr>
              <w:ind w:left="278" w:hanging="278"/>
              <w:rPr>
                <w:rFonts w:cs="Times New Roman"/>
                <w:sz w:val="20"/>
              </w:rPr>
            </w:pPr>
            <w:r>
              <w:rPr>
                <w:rFonts w:cs="Times New Roman"/>
                <w:sz w:val="20"/>
              </w:rPr>
              <w:t>Quarterly consortium</w:t>
            </w:r>
            <w:r w:rsidR="00067723">
              <w:rPr>
                <w:rFonts w:cs="Times New Roman"/>
                <w:sz w:val="20"/>
              </w:rPr>
              <w:t>-</w:t>
            </w:r>
            <w:r>
              <w:rPr>
                <w:rFonts w:cs="Times New Roman"/>
                <w:sz w:val="20"/>
              </w:rPr>
              <w:t xml:space="preserve"> wide data reports monitoring current CTE enrollment.</w:t>
            </w:r>
          </w:p>
          <w:p w:rsidR="00B12C5D" w:rsidRPr="00BA13B7" w:rsidRDefault="00B12C5D" w:rsidP="00FD3DD5">
            <w:pPr>
              <w:pStyle w:val="ListParagraph"/>
              <w:numPr>
                <w:ilvl w:val="0"/>
                <w:numId w:val="3"/>
              </w:numPr>
              <w:ind w:left="278" w:hanging="278"/>
              <w:rPr>
                <w:rFonts w:cs="Times New Roman"/>
                <w:sz w:val="20"/>
              </w:rPr>
            </w:pPr>
            <w:r>
              <w:rPr>
                <w:rFonts w:cs="Times New Roman"/>
                <w:sz w:val="20"/>
              </w:rPr>
              <w:t>Annual job placement reports that are more detailed than CAEP Outcome data (e.g. outcomes by CTE program, ESL, etc.).</w:t>
            </w:r>
          </w:p>
        </w:tc>
        <w:tc>
          <w:tcPr>
            <w:tcW w:w="2398" w:type="dxa"/>
          </w:tcPr>
          <w:p w:rsidR="00CA4E28" w:rsidRPr="00053E8E" w:rsidRDefault="00CA4E28" w:rsidP="00053E8E">
            <w:pPr>
              <w:pStyle w:val="ListParagraph"/>
              <w:rPr>
                <w:rFonts w:cs="Times New Roman"/>
                <w:sz w:val="12"/>
              </w:rPr>
            </w:pPr>
          </w:p>
          <w:p w:rsidR="00053E8E" w:rsidRDefault="00067723" w:rsidP="00FD3DD5">
            <w:pPr>
              <w:pStyle w:val="ListParagraph"/>
              <w:numPr>
                <w:ilvl w:val="0"/>
                <w:numId w:val="25"/>
              </w:numPr>
              <w:ind w:left="251" w:hanging="270"/>
              <w:rPr>
                <w:rFonts w:cs="Times New Roman"/>
                <w:sz w:val="20"/>
              </w:rPr>
            </w:pPr>
            <w:r>
              <w:rPr>
                <w:rFonts w:cs="Times New Roman"/>
                <w:sz w:val="20"/>
              </w:rPr>
              <w:t>By the end of the 2019-20 school year, consortium-wide CTE enrollment will increase 10% from current levels.</w:t>
            </w:r>
          </w:p>
          <w:p w:rsidR="00067723" w:rsidRPr="00BA13B7" w:rsidRDefault="00067723" w:rsidP="00FD3DD5">
            <w:pPr>
              <w:pStyle w:val="ListParagraph"/>
              <w:numPr>
                <w:ilvl w:val="0"/>
                <w:numId w:val="25"/>
              </w:numPr>
              <w:ind w:left="251" w:hanging="270"/>
              <w:rPr>
                <w:rFonts w:cs="Times New Roman"/>
                <w:sz w:val="20"/>
              </w:rPr>
            </w:pPr>
            <w:r>
              <w:rPr>
                <w:rFonts w:cs="Times New Roman"/>
                <w:sz w:val="20"/>
              </w:rPr>
              <w:t>By the end of the 2019-20 school year, the number of consortium-wide CTE job placements will increase 10% from current levels.</w:t>
            </w:r>
          </w:p>
        </w:tc>
        <w:tc>
          <w:tcPr>
            <w:tcW w:w="2398" w:type="dxa"/>
          </w:tcPr>
          <w:p w:rsidR="00CA4E28" w:rsidRPr="00053E8E" w:rsidRDefault="00CA4E28" w:rsidP="00053E8E">
            <w:pPr>
              <w:pStyle w:val="ListParagraph"/>
              <w:ind w:left="373"/>
              <w:rPr>
                <w:rFonts w:cs="Times New Roman"/>
                <w:sz w:val="12"/>
              </w:rPr>
            </w:pPr>
          </w:p>
          <w:p w:rsidR="00053E8E" w:rsidRDefault="00067723" w:rsidP="00FD3DD5">
            <w:pPr>
              <w:pStyle w:val="ListParagraph"/>
              <w:numPr>
                <w:ilvl w:val="0"/>
                <w:numId w:val="26"/>
              </w:numPr>
              <w:ind w:left="193" w:hanging="180"/>
              <w:rPr>
                <w:rFonts w:cs="Times New Roman"/>
                <w:sz w:val="20"/>
              </w:rPr>
            </w:pPr>
            <w:r>
              <w:rPr>
                <w:rFonts w:cs="Times New Roman"/>
                <w:sz w:val="20"/>
              </w:rPr>
              <w:t>By the end of the 2021-22 school year, consortium-wide CTE enrollment will increase 15% from 2018-19 levels.</w:t>
            </w:r>
          </w:p>
          <w:p w:rsidR="00067723" w:rsidRPr="00BA13B7" w:rsidRDefault="00067723" w:rsidP="00FD3DD5">
            <w:pPr>
              <w:pStyle w:val="ListParagraph"/>
              <w:numPr>
                <w:ilvl w:val="0"/>
                <w:numId w:val="26"/>
              </w:numPr>
              <w:ind w:left="193" w:hanging="180"/>
              <w:rPr>
                <w:rFonts w:cs="Times New Roman"/>
                <w:sz w:val="20"/>
              </w:rPr>
            </w:pPr>
            <w:r>
              <w:rPr>
                <w:rFonts w:cs="Times New Roman"/>
                <w:sz w:val="20"/>
              </w:rPr>
              <w:t>By the end of the 2019-20 school year, the number of consortium-wide CTE job placements</w:t>
            </w:r>
            <w:r w:rsidR="006865B8">
              <w:rPr>
                <w:rFonts w:cs="Times New Roman"/>
                <w:sz w:val="20"/>
              </w:rPr>
              <w:t xml:space="preserve"> will increase 15</w:t>
            </w:r>
            <w:r>
              <w:rPr>
                <w:rFonts w:cs="Times New Roman"/>
                <w:sz w:val="20"/>
              </w:rPr>
              <w:t>% from 2018-19 levels.</w:t>
            </w:r>
          </w:p>
        </w:tc>
        <w:tc>
          <w:tcPr>
            <w:tcW w:w="2398" w:type="dxa"/>
          </w:tcPr>
          <w:p w:rsidR="00CA4E28" w:rsidRPr="00053E8E" w:rsidRDefault="00CA4E28" w:rsidP="00053E8E">
            <w:pPr>
              <w:pStyle w:val="ListParagraph"/>
              <w:ind w:left="278"/>
              <w:rPr>
                <w:rFonts w:cs="Times New Roman"/>
                <w:sz w:val="12"/>
              </w:rPr>
            </w:pPr>
          </w:p>
          <w:p w:rsidR="00053E8E" w:rsidRDefault="00067723" w:rsidP="00FD3DD5">
            <w:pPr>
              <w:pStyle w:val="ListParagraph"/>
              <w:numPr>
                <w:ilvl w:val="0"/>
                <w:numId w:val="27"/>
              </w:numPr>
              <w:ind w:left="225" w:hanging="225"/>
              <w:rPr>
                <w:rFonts w:cs="Times New Roman"/>
                <w:sz w:val="20"/>
              </w:rPr>
            </w:pPr>
            <w:r>
              <w:rPr>
                <w:rFonts w:cs="Times New Roman"/>
                <w:sz w:val="20"/>
              </w:rPr>
              <w:t>Beyond the 2021-22 school year, consortium-wide CTE enrollment will increase 25% from 2018-19 levels.</w:t>
            </w:r>
          </w:p>
          <w:p w:rsidR="00067723" w:rsidRPr="00BA13B7" w:rsidRDefault="00067723" w:rsidP="00FD3DD5">
            <w:pPr>
              <w:pStyle w:val="ListParagraph"/>
              <w:numPr>
                <w:ilvl w:val="0"/>
                <w:numId w:val="27"/>
              </w:numPr>
              <w:ind w:left="225" w:hanging="225"/>
              <w:rPr>
                <w:rFonts w:cs="Times New Roman"/>
                <w:sz w:val="20"/>
              </w:rPr>
            </w:pPr>
            <w:r>
              <w:rPr>
                <w:rFonts w:cs="Times New Roman"/>
                <w:sz w:val="20"/>
              </w:rPr>
              <w:t>Beyond the 2021-22 school year, the number of consortium-wide CTE job placements will increase 2</w:t>
            </w:r>
            <w:r w:rsidR="006865B8">
              <w:rPr>
                <w:rFonts w:cs="Times New Roman"/>
                <w:sz w:val="20"/>
              </w:rPr>
              <w:t>5</w:t>
            </w:r>
            <w:r>
              <w:rPr>
                <w:rFonts w:cs="Times New Roman"/>
                <w:sz w:val="20"/>
              </w:rPr>
              <w:t>% from 2018-19 levels.</w:t>
            </w:r>
          </w:p>
        </w:tc>
      </w:tr>
    </w:tbl>
    <w:p w:rsidR="001F3BA7" w:rsidRPr="00BA13B7" w:rsidRDefault="001F3BA7" w:rsidP="001F3BA7">
      <w:pPr>
        <w:spacing w:after="0"/>
        <w:rPr>
          <w:rFonts w:cs="Times New Roman"/>
          <w:sz w:val="12"/>
          <w:szCs w:val="8"/>
        </w:rPr>
      </w:pPr>
    </w:p>
    <w:tbl>
      <w:tblPr>
        <w:tblStyle w:val="TableGrid"/>
        <w:tblW w:w="144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98"/>
        <w:gridCol w:w="7192"/>
        <w:gridCol w:w="10"/>
      </w:tblGrid>
      <w:tr w:rsidR="001F3BA7" w:rsidRPr="00BA13B7" w:rsidTr="00CA0D8E">
        <w:trPr>
          <w:gridAfter w:val="1"/>
          <w:wAfter w:w="10" w:type="dxa"/>
          <w:trHeight w:val="288"/>
        </w:trPr>
        <w:tc>
          <w:tcPr>
            <w:tcW w:w="7195" w:type="dxa"/>
            <w:shd w:val="clear" w:color="auto" w:fill="808080" w:themeFill="background1" w:themeFillShade="8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lastRenderedPageBreak/>
              <w:t>Assumptions</w:t>
            </w:r>
          </w:p>
        </w:tc>
        <w:tc>
          <w:tcPr>
            <w:tcW w:w="7195" w:type="dxa"/>
            <w:shd w:val="clear" w:color="auto" w:fill="808080" w:themeFill="background1" w:themeFillShade="8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External Factors</w:t>
            </w:r>
          </w:p>
        </w:tc>
      </w:tr>
      <w:tr w:rsidR="001F3BA7" w:rsidRPr="00BA13B7" w:rsidTr="00CA0D8E">
        <w:trPr>
          <w:trHeight w:val="1296"/>
        </w:trPr>
        <w:tc>
          <w:tcPr>
            <w:tcW w:w="7200" w:type="dxa"/>
            <w:vAlign w:val="center"/>
          </w:tcPr>
          <w:p w:rsidR="001F3BA7" w:rsidRPr="00BA13B7" w:rsidRDefault="00CA43DD" w:rsidP="00FD3DD5">
            <w:pPr>
              <w:pStyle w:val="ListParagraph"/>
              <w:numPr>
                <w:ilvl w:val="0"/>
                <w:numId w:val="32"/>
              </w:numPr>
              <w:spacing w:before="120" w:after="120"/>
            </w:pPr>
            <w:r>
              <w:t>CTE members must be flexible and collaborative as planning sessions could lead to some difficult conversations.</w:t>
            </w:r>
          </w:p>
        </w:tc>
        <w:tc>
          <w:tcPr>
            <w:tcW w:w="7200" w:type="dxa"/>
            <w:gridSpan w:val="2"/>
            <w:vAlign w:val="center"/>
          </w:tcPr>
          <w:p w:rsidR="001F3BA7" w:rsidRPr="00BA13B7" w:rsidRDefault="00CA43DD" w:rsidP="00FD3DD5">
            <w:pPr>
              <w:pStyle w:val="ListParagraph"/>
              <w:numPr>
                <w:ilvl w:val="0"/>
                <w:numId w:val="33"/>
              </w:numPr>
              <w:spacing w:before="120" w:after="120"/>
            </w:pPr>
            <w:r>
              <w:t>AJCC Title I ITA funding ebbs and flows and can cause significant disruption in providing CTE services to adults.</w:t>
            </w:r>
          </w:p>
        </w:tc>
      </w:tr>
    </w:tbl>
    <w:p w:rsidR="001F3BA7" w:rsidRPr="00BA13B7" w:rsidRDefault="001F3BA7" w:rsidP="001F3BA7">
      <w:pPr>
        <w:spacing w:before="120" w:after="120"/>
      </w:pPr>
    </w:p>
    <w:p w:rsidR="001F3BA7" w:rsidRPr="00BA13B7" w:rsidRDefault="001F3BA7" w:rsidP="001F3BA7">
      <w:pPr>
        <w:pStyle w:val="Heading2"/>
        <w:rPr>
          <w:rFonts w:asciiTheme="minorHAnsi" w:hAnsiTheme="minorHAnsi"/>
          <w:b/>
          <w:color w:val="auto"/>
        </w:rPr>
      </w:pPr>
    </w:p>
    <w:p w:rsidR="00222B4F" w:rsidRDefault="00222B4F">
      <w:pPr>
        <w:rPr>
          <w:rFonts w:asciiTheme="majorHAnsi" w:eastAsiaTheme="majorEastAsia" w:hAnsiTheme="majorHAnsi" w:cstheme="majorBidi"/>
          <w:i/>
          <w:color w:val="1F4D78" w:themeColor="accent1" w:themeShade="7F"/>
          <w:sz w:val="24"/>
          <w:szCs w:val="24"/>
        </w:rPr>
      </w:pPr>
      <w:r>
        <w:rPr>
          <w:i/>
        </w:rPr>
        <w:br w:type="page"/>
      </w:r>
    </w:p>
    <w:p w:rsidR="001F3BA7" w:rsidRPr="00B7492B" w:rsidRDefault="001F3BA7" w:rsidP="00B7492B">
      <w:pPr>
        <w:pStyle w:val="Heading3"/>
        <w:spacing w:after="120"/>
        <w:rPr>
          <w:i/>
        </w:rPr>
      </w:pPr>
      <w:bookmarkStart w:id="43" w:name="_Toc10804151"/>
      <w:r w:rsidRPr="00B7492B">
        <w:rPr>
          <w:i/>
        </w:rPr>
        <w:lastRenderedPageBreak/>
        <w:t>Goal Statement</w:t>
      </w:r>
      <w:r w:rsidR="000452AF" w:rsidRPr="00B7492B">
        <w:rPr>
          <w:i/>
        </w:rPr>
        <w:t xml:space="preserve"> #3</w:t>
      </w:r>
      <w:r w:rsidRPr="00B7492B">
        <w:rPr>
          <w:i/>
        </w:rPr>
        <w:t xml:space="preserve">: </w:t>
      </w:r>
      <w:r w:rsidR="006511A4" w:rsidRPr="00B7492B">
        <w:rPr>
          <w:i/>
        </w:rPr>
        <w:t>Create, Implement and Fully Utilize</w:t>
      </w:r>
      <w:r w:rsidR="00B7492B">
        <w:rPr>
          <w:i/>
        </w:rPr>
        <w:t xml:space="preserve"> CTE</w:t>
      </w:r>
      <w:r w:rsidR="006511A4" w:rsidRPr="00B7492B">
        <w:rPr>
          <w:i/>
        </w:rPr>
        <w:t xml:space="preserve"> Regional Advisory Boards</w:t>
      </w:r>
      <w:bookmarkEnd w:id="4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99"/>
        <w:gridCol w:w="2399"/>
        <w:gridCol w:w="2398"/>
        <w:gridCol w:w="2398"/>
        <w:gridCol w:w="2398"/>
        <w:gridCol w:w="2398"/>
      </w:tblGrid>
      <w:tr w:rsidR="001F3BA7" w:rsidRPr="00BA13B7" w:rsidTr="00CA0D8E">
        <w:trPr>
          <w:trHeight w:val="576"/>
          <w:tblHeader/>
        </w:trPr>
        <w:tc>
          <w:tcPr>
            <w:tcW w:w="2399" w:type="dxa"/>
            <w:shd w:val="clear" w:color="auto" w:fill="00206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Inputs</w:t>
            </w:r>
          </w:p>
        </w:tc>
        <w:tc>
          <w:tcPr>
            <w:tcW w:w="2399" w:type="dxa"/>
            <w:shd w:val="clear" w:color="auto" w:fill="7030A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Activities</w:t>
            </w:r>
          </w:p>
        </w:tc>
        <w:tc>
          <w:tcPr>
            <w:tcW w:w="2398" w:type="dxa"/>
            <w:shd w:val="clear" w:color="auto" w:fill="993366"/>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Outputs</w:t>
            </w:r>
          </w:p>
        </w:tc>
        <w:tc>
          <w:tcPr>
            <w:tcW w:w="2398" w:type="dxa"/>
            <w:shd w:val="clear" w:color="auto" w:fill="8496B0" w:themeFill="text2" w:themeFillTint="99"/>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Immediate (Short-Term) Outcomes</w:t>
            </w:r>
          </w:p>
        </w:tc>
        <w:tc>
          <w:tcPr>
            <w:tcW w:w="2398" w:type="dxa"/>
            <w:shd w:val="clear" w:color="auto" w:fill="C45911" w:themeFill="accent2" w:themeFillShade="BF"/>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Intermediate Outcomes</w:t>
            </w:r>
          </w:p>
        </w:tc>
        <w:tc>
          <w:tcPr>
            <w:tcW w:w="2398" w:type="dxa"/>
            <w:shd w:val="clear" w:color="auto" w:fill="FFC00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Long Term Outcomes / Impact</w:t>
            </w:r>
          </w:p>
        </w:tc>
      </w:tr>
      <w:tr w:rsidR="001F3BA7" w:rsidRPr="00BA13B7" w:rsidTr="00CA0D8E">
        <w:trPr>
          <w:trHeight w:val="576"/>
          <w:tblHeader/>
        </w:trPr>
        <w:tc>
          <w:tcPr>
            <w:tcW w:w="2399" w:type="dxa"/>
            <w:vAlign w:val="center"/>
          </w:tcPr>
          <w:p w:rsidR="001F3BA7" w:rsidRPr="00BA13B7" w:rsidRDefault="001F3BA7" w:rsidP="00CA0D8E">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In order to complete our set of activities we will need the following: </w:t>
            </w:r>
          </w:p>
        </w:tc>
        <w:tc>
          <w:tcPr>
            <w:tcW w:w="2399" w:type="dxa"/>
            <w:vAlign w:val="center"/>
          </w:tcPr>
          <w:p w:rsidR="001F3BA7" w:rsidRPr="00BA13B7" w:rsidRDefault="001F3BA7" w:rsidP="00CA0D8E">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In order to address our problem or asset we will accomplish  the following activities: </w:t>
            </w:r>
          </w:p>
        </w:tc>
        <w:tc>
          <w:tcPr>
            <w:tcW w:w="2398" w:type="dxa"/>
            <w:vAlign w:val="center"/>
          </w:tcPr>
          <w:p w:rsidR="001F3BA7" w:rsidRPr="00BA13B7" w:rsidRDefault="001F3BA7" w:rsidP="00CA0D8E">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We expect that once accomplished, these activities will produce the following evidence or service delivery: </w:t>
            </w:r>
          </w:p>
        </w:tc>
        <w:tc>
          <w:tcPr>
            <w:tcW w:w="2398" w:type="dxa"/>
            <w:vAlign w:val="center"/>
          </w:tcPr>
          <w:p w:rsidR="001F3BA7" w:rsidRPr="00BA13B7" w:rsidRDefault="001F3BA7" w:rsidP="00CA0D8E">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the next year:</w:t>
            </w:r>
          </w:p>
        </w:tc>
        <w:tc>
          <w:tcPr>
            <w:tcW w:w="2398" w:type="dxa"/>
            <w:vAlign w:val="center"/>
          </w:tcPr>
          <w:p w:rsidR="001F3BA7" w:rsidRPr="00BA13B7" w:rsidRDefault="001F3BA7" w:rsidP="00CA0D8E">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1-3 years:</w:t>
            </w:r>
          </w:p>
        </w:tc>
        <w:tc>
          <w:tcPr>
            <w:tcW w:w="2398" w:type="dxa"/>
            <w:vAlign w:val="center"/>
          </w:tcPr>
          <w:p w:rsidR="001F3BA7" w:rsidRPr="00BA13B7" w:rsidRDefault="001F3BA7" w:rsidP="00CA0D8E">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the 3-5 years:</w:t>
            </w:r>
          </w:p>
        </w:tc>
      </w:tr>
      <w:tr w:rsidR="001F3BA7" w:rsidRPr="00BA13B7" w:rsidTr="004F6EE8">
        <w:trPr>
          <w:trHeight w:val="4176"/>
        </w:trPr>
        <w:tc>
          <w:tcPr>
            <w:tcW w:w="2399" w:type="dxa"/>
          </w:tcPr>
          <w:p w:rsidR="004F6EE8" w:rsidRPr="00BA13B7" w:rsidRDefault="004F6EE8" w:rsidP="004F6EE8">
            <w:pPr>
              <w:pStyle w:val="ListParagraph"/>
              <w:ind w:left="360"/>
              <w:rPr>
                <w:rFonts w:cs="Times New Roman"/>
                <w:sz w:val="20"/>
              </w:rPr>
            </w:pPr>
          </w:p>
          <w:p w:rsidR="00CA4E28" w:rsidRDefault="00CA4E28" w:rsidP="00FD3DD5">
            <w:pPr>
              <w:pStyle w:val="ListParagraph"/>
              <w:numPr>
                <w:ilvl w:val="0"/>
                <w:numId w:val="7"/>
              </w:numPr>
              <w:ind w:left="247" w:hanging="247"/>
              <w:rPr>
                <w:rFonts w:cs="Times New Roman"/>
                <w:sz w:val="20"/>
              </w:rPr>
            </w:pPr>
            <w:r>
              <w:rPr>
                <w:rFonts w:cs="Times New Roman"/>
                <w:sz w:val="20"/>
              </w:rPr>
              <w:t>Reliable data to inform and drive process.</w:t>
            </w:r>
          </w:p>
          <w:p w:rsidR="00CA4E28" w:rsidRDefault="00CA4E28" w:rsidP="00FD3DD5">
            <w:pPr>
              <w:pStyle w:val="ListParagraph"/>
              <w:numPr>
                <w:ilvl w:val="0"/>
                <w:numId w:val="7"/>
              </w:numPr>
              <w:ind w:left="247" w:hanging="247"/>
              <w:rPr>
                <w:rFonts w:cs="Times New Roman"/>
                <w:sz w:val="20"/>
              </w:rPr>
            </w:pPr>
            <w:r>
              <w:rPr>
                <w:rFonts w:cs="Times New Roman"/>
                <w:sz w:val="20"/>
              </w:rPr>
              <w:t xml:space="preserve">Participation from critical stakeholders: industry, </w:t>
            </w:r>
            <w:r w:rsidR="005F5CED">
              <w:rPr>
                <w:rFonts w:cs="Times New Roman"/>
                <w:sz w:val="20"/>
              </w:rPr>
              <w:t>job developers, marketers, faculty, and administration</w:t>
            </w:r>
            <w:r>
              <w:rPr>
                <w:rFonts w:cs="Times New Roman"/>
                <w:sz w:val="20"/>
              </w:rPr>
              <w:t>.</w:t>
            </w:r>
          </w:p>
          <w:p w:rsidR="00CA4E28" w:rsidRDefault="00CA4E28" w:rsidP="00FD3DD5">
            <w:pPr>
              <w:pStyle w:val="ListParagraph"/>
              <w:numPr>
                <w:ilvl w:val="0"/>
                <w:numId w:val="7"/>
              </w:numPr>
              <w:ind w:left="247" w:hanging="247"/>
              <w:rPr>
                <w:rFonts w:cs="Times New Roman"/>
                <w:sz w:val="20"/>
              </w:rPr>
            </w:pPr>
            <w:r>
              <w:rPr>
                <w:rFonts w:cs="Times New Roman"/>
                <w:sz w:val="20"/>
              </w:rPr>
              <w:t xml:space="preserve">Sufficient staff with expertise to </w:t>
            </w:r>
            <w:r w:rsidR="005F5CED">
              <w:rPr>
                <w:rFonts w:cs="Times New Roman"/>
                <w:sz w:val="20"/>
              </w:rPr>
              <w:t>administer to Advisory Boards</w:t>
            </w:r>
            <w:r>
              <w:rPr>
                <w:rFonts w:cs="Times New Roman"/>
                <w:sz w:val="20"/>
              </w:rPr>
              <w:t>.</w:t>
            </w:r>
          </w:p>
          <w:p w:rsidR="00CA4E28" w:rsidRDefault="00CA4E28" w:rsidP="00FD3DD5">
            <w:pPr>
              <w:pStyle w:val="ListParagraph"/>
              <w:numPr>
                <w:ilvl w:val="0"/>
                <w:numId w:val="7"/>
              </w:numPr>
              <w:ind w:left="247" w:hanging="247"/>
              <w:rPr>
                <w:rFonts w:cs="Times New Roman"/>
                <w:sz w:val="20"/>
              </w:rPr>
            </w:pPr>
            <w:r>
              <w:rPr>
                <w:rFonts w:cs="Times New Roman"/>
                <w:sz w:val="20"/>
              </w:rPr>
              <w:t>Financial resources for staff and</w:t>
            </w:r>
            <w:r w:rsidR="005F5CED">
              <w:rPr>
                <w:rFonts w:cs="Times New Roman"/>
                <w:sz w:val="20"/>
              </w:rPr>
              <w:t xml:space="preserve"> Advisory Board</w:t>
            </w:r>
            <w:r>
              <w:rPr>
                <w:rFonts w:cs="Times New Roman"/>
                <w:sz w:val="20"/>
              </w:rPr>
              <w:t xml:space="preserve"> meetings.</w:t>
            </w:r>
          </w:p>
          <w:p w:rsidR="004F6EE8" w:rsidRPr="00BA13B7" w:rsidRDefault="00CA4E28" w:rsidP="00FD3DD5">
            <w:pPr>
              <w:pStyle w:val="ListParagraph"/>
              <w:numPr>
                <w:ilvl w:val="0"/>
                <w:numId w:val="7"/>
              </w:numPr>
              <w:ind w:left="247" w:hanging="247"/>
              <w:rPr>
                <w:rFonts w:cs="Times New Roman"/>
                <w:sz w:val="20"/>
              </w:rPr>
            </w:pPr>
            <w:r>
              <w:rPr>
                <w:rFonts w:cs="Times New Roman"/>
                <w:sz w:val="20"/>
              </w:rPr>
              <w:t xml:space="preserve">Sufficient external technical assistance to support </w:t>
            </w:r>
            <w:r w:rsidR="005F5CED">
              <w:rPr>
                <w:rFonts w:cs="Times New Roman"/>
                <w:sz w:val="20"/>
              </w:rPr>
              <w:t>Boards.</w:t>
            </w:r>
            <w:r>
              <w:rPr>
                <w:rFonts w:cs="Times New Roman"/>
                <w:sz w:val="20"/>
              </w:rPr>
              <w:t xml:space="preserve"> </w:t>
            </w:r>
          </w:p>
        </w:tc>
        <w:tc>
          <w:tcPr>
            <w:tcW w:w="2399" w:type="dxa"/>
          </w:tcPr>
          <w:p w:rsidR="001F3BA7" w:rsidRPr="00BA13B7" w:rsidRDefault="001F3BA7" w:rsidP="004F6EE8">
            <w:pPr>
              <w:pStyle w:val="ListParagraph"/>
              <w:spacing w:before="120"/>
              <w:ind w:left="360"/>
              <w:rPr>
                <w:rFonts w:cs="Times New Roman"/>
                <w:sz w:val="20"/>
              </w:rPr>
            </w:pPr>
          </w:p>
          <w:p w:rsidR="004F6EE8" w:rsidRDefault="005F5CED" w:rsidP="00FD3DD5">
            <w:pPr>
              <w:pStyle w:val="ListParagraph"/>
              <w:numPr>
                <w:ilvl w:val="0"/>
                <w:numId w:val="8"/>
              </w:numPr>
              <w:spacing w:before="120"/>
              <w:ind w:left="188" w:hanging="188"/>
              <w:rPr>
                <w:rFonts w:cs="Times New Roman"/>
                <w:sz w:val="20"/>
              </w:rPr>
            </w:pPr>
            <w:r>
              <w:rPr>
                <w:rFonts w:cs="Times New Roman"/>
                <w:sz w:val="20"/>
              </w:rPr>
              <w:t>Create structure of each industry’s Advisory Board and the format of quarterly meetings by 7/15/19.</w:t>
            </w:r>
          </w:p>
          <w:p w:rsidR="005F5CED" w:rsidRDefault="005F5CED" w:rsidP="00FD3DD5">
            <w:pPr>
              <w:pStyle w:val="ListParagraph"/>
              <w:numPr>
                <w:ilvl w:val="0"/>
                <w:numId w:val="8"/>
              </w:numPr>
              <w:spacing w:before="120"/>
              <w:ind w:left="188" w:hanging="188"/>
              <w:rPr>
                <w:rFonts w:cs="Times New Roman"/>
                <w:sz w:val="20"/>
              </w:rPr>
            </w:pPr>
            <w:r>
              <w:rPr>
                <w:rFonts w:cs="Times New Roman"/>
                <w:sz w:val="20"/>
              </w:rPr>
              <w:t>Create list of potential members from industry by 7/31/19.</w:t>
            </w:r>
          </w:p>
          <w:p w:rsidR="005F5CED" w:rsidRDefault="005F5CED" w:rsidP="00FD3DD5">
            <w:pPr>
              <w:pStyle w:val="ListParagraph"/>
              <w:numPr>
                <w:ilvl w:val="0"/>
                <w:numId w:val="8"/>
              </w:numPr>
              <w:spacing w:before="120"/>
              <w:ind w:left="188" w:hanging="188"/>
              <w:rPr>
                <w:rFonts w:cs="Times New Roman"/>
                <w:sz w:val="20"/>
              </w:rPr>
            </w:pPr>
            <w:r>
              <w:rPr>
                <w:rFonts w:cs="Times New Roman"/>
                <w:sz w:val="20"/>
              </w:rPr>
              <w:t>Contact potential members and form Boards by 9/15/19.</w:t>
            </w:r>
          </w:p>
          <w:p w:rsidR="005F5CED" w:rsidRDefault="005F5CED" w:rsidP="00FD3DD5">
            <w:pPr>
              <w:pStyle w:val="ListParagraph"/>
              <w:numPr>
                <w:ilvl w:val="0"/>
                <w:numId w:val="8"/>
              </w:numPr>
              <w:spacing w:before="120"/>
              <w:ind w:left="188" w:hanging="188"/>
              <w:rPr>
                <w:rFonts w:cs="Times New Roman"/>
                <w:sz w:val="20"/>
              </w:rPr>
            </w:pPr>
            <w:r>
              <w:rPr>
                <w:rFonts w:cs="Times New Roman"/>
                <w:sz w:val="20"/>
              </w:rPr>
              <w:t>Calendar Advisory Board meetings by 10/1/19.</w:t>
            </w:r>
          </w:p>
          <w:p w:rsidR="005F5CED" w:rsidRPr="00BA13B7" w:rsidRDefault="005F5CED" w:rsidP="00FD3DD5">
            <w:pPr>
              <w:pStyle w:val="ListParagraph"/>
              <w:numPr>
                <w:ilvl w:val="0"/>
                <w:numId w:val="8"/>
              </w:numPr>
              <w:spacing w:before="120"/>
              <w:ind w:left="188" w:hanging="188"/>
              <w:rPr>
                <w:rFonts w:cs="Times New Roman"/>
                <w:sz w:val="20"/>
              </w:rPr>
            </w:pPr>
            <w:r>
              <w:rPr>
                <w:rFonts w:cs="Times New Roman"/>
                <w:sz w:val="20"/>
              </w:rPr>
              <w:t>Hold first Board meeting by mid-October 2019</w:t>
            </w:r>
          </w:p>
        </w:tc>
        <w:tc>
          <w:tcPr>
            <w:tcW w:w="2398" w:type="dxa"/>
          </w:tcPr>
          <w:p w:rsidR="001F3BA7" w:rsidRPr="00BA13B7" w:rsidRDefault="001F3BA7" w:rsidP="004F6EE8">
            <w:pPr>
              <w:pStyle w:val="ListParagraph"/>
              <w:spacing w:before="120"/>
              <w:ind w:left="360"/>
              <w:rPr>
                <w:rFonts w:cs="Times New Roman"/>
                <w:sz w:val="20"/>
              </w:rPr>
            </w:pPr>
          </w:p>
          <w:p w:rsidR="004F6EE8" w:rsidRDefault="005F5CED" w:rsidP="00FD3DD5">
            <w:pPr>
              <w:pStyle w:val="ListParagraph"/>
              <w:numPr>
                <w:ilvl w:val="0"/>
                <w:numId w:val="9"/>
              </w:numPr>
              <w:spacing w:before="120"/>
              <w:ind w:left="219" w:hanging="219"/>
              <w:rPr>
                <w:rFonts w:cs="Times New Roman"/>
                <w:sz w:val="20"/>
              </w:rPr>
            </w:pPr>
            <w:r>
              <w:rPr>
                <w:rFonts w:cs="Times New Roman"/>
                <w:sz w:val="20"/>
              </w:rPr>
              <w:t>Formation of Boards and codified structure for Board meetings.</w:t>
            </w:r>
          </w:p>
          <w:p w:rsidR="005F5CED" w:rsidRDefault="005F5CED" w:rsidP="00FD3DD5">
            <w:pPr>
              <w:pStyle w:val="ListParagraph"/>
              <w:numPr>
                <w:ilvl w:val="0"/>
                <w:numId w:val="9"/>
              </w:numPr>
              <w:spacing w:before="120"/>
              <w:ind w:left="219" w:hanging="219"/>
              <w:rPr>
                <w:rFonts w:cs="Times New Roman"/>
                <w:sz w:val="20"/>
              </w:rPr>
            </w:pPr>
            <w:r>
              <w:rPr>
                <w:rFonts w:cs="Times New Roman"/>
                <w:sz w:val="20"/>
              </w:rPr>
              <w:t>Calendar of Advisory Board meetings.</w:t>
            </w:r>
          </w:p>
          <w:p w:rsidR="006865B8" w:rsidRDefault="006865B8" w:rsidP="00FD3DD5">
            <w:pPr>
              <w:pStyle w:val="ListParagraph"/>
              <w:numPr>
                <w:ilvl w:val="0"/>
                <w:numId w:val="9"/>
              </w:numPr>
              <w:spacing w:before="120"/>
              <w:ind w:left="219" w:hanging="219"/>
              <w:rPr>
                <w:rFonts w:cs="Times New Roman"/>
                <w:sz w:val="20"/>
              </w:rPr>
            </w:pPr>
            <w:r>
              <w:rPr>
                <w:rFonts w:cs="Times New Roman"/>
                <w:sz w:val="20"/>
              </w:rPr>
              <w:t>Agendas and sign-in sheets from Board meetings.</w:t>
            </w:r>
          </w:p>
          <w:p w:rsidR="006865B8" w:rsidRPr="00BA13B7" w:rsidRDefault="006865B8" w:rsidP="00FD3DD5">
            <w:pPr>
              <w:pStyle w:val="ListParagraph"/>
              <w:numPr>
                <w:ilvl w:val="0"/>
                <w:numId w:val="9"/>
              </w:numPr>
              <w:spacing w:before="120"/>
              <w:ind w:left="219" w:hanging="219"/>
              <w:rPr>
                <w:rFonts w:cs="Times New Roman"/>
                <w:sz w:val="20"/>
              </w:rPr>
            </w:pPr>
            <w:r>
              <w:rPr>
                <w:rFonts w:cs="Times New Roman"/>
                <w:sz w:val="20"/>
              </w:rPr>
              <w:t>Letters of employment needs for consortium to utilize in planning.</w:t>
            </w:r>
          </w:p>
        </w:tc>
        <w:tc>
          <w:tcPr>
            <w:tcW w:w="2398" w:type="dxa"/>
          </w:tcPr>
          <w:p w:rsidR="001F3BA7" w:rsidRPr="00BA13B7" w:rsidRDefault="001F3BA7" w:rsidP="004F6EE8">
            <w:pPr>
              <w:pStyle w:val="ListParagraph"/>
              <w:spacing w:before="120"/>
              <w:ind w:left="360"/>
              <w:rPr>
                <w:rFonts w:cs="Times New Roman"/>
                <w:sz w:val="20"/>
              </w:rPr>
            </w:pPr>
          </w:p>
          <w:p w:rsidR="004F6EE8" w:rsidRPr="00BA13B7" w:rsidRDefault="009B5939" w:rsidP="00FD3DD5">
            <w:pPr>
              <w:pStyle w:val="ListParagraph"/>
              <w:numPr>
                <w:ilvl w:val="0"/>
                <w:numId w:val="10"/>
              </w:numPr>
              <w:spacing w:before="120"/>
              <w:ind w:left="251" w:hanging="251"/>
              <w:rPr>
                <w:rFonts w:cs="Times New Roman"/>
                <w:sz w:val="20"/>
              </w:rPr>
            </w:pPr>
            <w:r>
              <w:rPr>
                <w:rFonts w:cs="Times New Roman"/>
                <w:sz w:val="20"/>
              </w:rPr>
              <w:t>By the end of the 2019-20 school year, the consortium will place 30 students in regional jobs as a direct result of Advisory Board meetings.</w:t>
            </w:r>
          </w:p>
        </w:tc>
        <w:tc>
          <w:tcPr>
            <w:tcW w:w="2398" w:type="dxa"/>
          </w:tcPr>
          <w:p w:rsidR="001F3BA7" w:rsidRPr="00BA13B7" w:rsidRDefault="001F3BA7" w:rsidP="004F6EE8">
            <w:pPr>
              <w:pStyle w:val="ListParagraph"/>
              <w:ind w:left="360"/>
              <w:rPr>
                <w:rFonts w:cs="Times New Roman"/>
                <w:sz w:val="20"/>
              </w:rPr>
            </w:pPr>
          </w:p>
          <w:p w:rsidR="004F6EE8" w:rsidRPr="00BA13B7" w:rsidRDefault="009B5939" w:rsidP="00FD3DD5">
            <w:pPr>
              <w:pStyle w:val="ListParagraph"/>
              <w:numPr>
                <w:ilvl w:val="0"/>
                <w:numId w:val="11"/>
              </w:numPr>
              <w:ind w:left="193" w:hanging="193"/>
              <w:rPr>
                <w:rFonts w:cs="Times New Roman"/>
                <w:sz w:val="20"/>
              </w:rPr>
            </w:pPr>
            <w:r>
              <w:rPr>
                <w:rFonts w:cs="Times New Roman"/>
                <w:sz w:val="20"/>
              </w:rPr>
              <w:t>By the end of the 2021-22 school year, the consortium will be placing 60 students annually in regional jobs as a direct result of Advisory Board meetings.</w:t>
            </w:r>
          </w:p>
        </w:tc>
        <w:tc>
          <w:tcPr>
            <w:tcW w:w="2398" w:type="dxa"/>
          </w:tcPr>
          <w:p w:rsidR="001F3BA7" w:rsidRPr="00BA13B7" w:rsidRDefault="001F3BA7" w:rsidP="004F6EE8">
            <w:pPr>
              <w:pStyle w:val="ListParagraph"/>
              <w:spacing w:before="120"/>
              <w:ind w:left="360"/>
              <w:rPr>
                <w:rFonts w:cs="Times New Roman"/>
                <w:sz w:val="20"/>
              </w:rPr>
            </w:pPr>
          </w:p>
          <w:p w:rsidR="004F6EE8" w:rsidRPr="00BA13B7" w:rsidRDefault="009B5939" w:rsidP="00FD3DD5">
            <w:pPr>
              <w:pStyle w:val="ListParagraph"/>
              <w:numPr>
                <w:ilvl w:val="0"/>
                <w:numId w:val="12"/>
              </w:numPr>
              <w:spacing w:before="120"/>
              <w:ind w:left="225" w:hanging="225"/>
              <w:rPr>
                <w:rFonts w:cs="Times New Roman"/>
                <w:sz w:val="20"/>
              </w:rPr>
            </w:pPr>
            <w:r>
              <w:rPr>
                <w:rFonts w:cs="Times New Roman"/>
                <w:sz w:val="20"/>
              </w:rPr>
              <w:t>Beyond the 2021-22 school year, the consortium will be placing 100 students annually in regional jobs as a direct result of Advisory Board meetings.</w:t>
            </w:r>
          </w:p>
        </w:tc>
      </w:tr>
    </w:tbl>
    <w:p w:rsidR="001F3BA7" w:rsidRPr="00BA13B7" w:rsidRDefault="001F3BA7" w:rsidP="001F3BA7">
      <w:pPr>
        <w:spacing w:after="0"/>
        <w:rPr>
          <w:rFonts w:cs="Times New Roman"/>
          <w:sz w:val="12"/>
          <w:szCs w:val="8"/>
        </w:rPr>
      </w:pPr>
    </w:p>
    <w:tbl>
      <w:tblPr>
        <w:tblStyle w:val="TableGrid"/>
        <w:tblW w:w="144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98"/>
        <w:gridCol w:w="7192"/>
        <w:gridCol w:w="10"/>
      </w:tblGrid>
      <w:tr w:rsidR="001F3BA7" w:rsidRPr="00BA13B7" w:rsidTr="00CA0D8E">
        <w:trPr>
          <w:gridAfter w:val="1"/>
          <w:wAfter w:w="10" w:type="dxa"/>
          <w:trHeight w:val="288"/>
        </w:trPr>
        <w:tc>
          <w:tcPr>
            <w:tcW w:w="7195" w:type="dxa"/>
            <w:shd w:val="clear" w:color="auto" w:fill="808080" w:themeFill="background1" w:themeFillShade="8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Assumptions</w:t>
            </w:r>
          </w:p>
        </w:tc>
        <w:tc>
          <w:tcPr>
            <w:tcW w:w="7195" w:type="dxa"/>
            <w:shd w:val="clear" w:color="auto" w:fill="808080" w:themeFill="background1" w:themeFillShade="8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External Factors</w:t>
            </w:r>
          </w:p>
        </w:tc>
      </w:tr>
      <w:tr w:rsidR="001F3BA7" w:rsidRPr="00BA13B7" w:rsidTr="00CA0D8E">
        <w:trPr>
          <w:trHeight w:val="1296"/>
        </w:trPr>
        <w:tc>
          <w:tcPr>
            <w:tcW w:w="7200" w:type="dxa"/>
            <w:vAlign w:val="center"/>
          </w:tcPr>
          <w:p w:rsidR="001F3BA7" w:rsidRDefault="00CA43DD" w:rsidP="00FD3DD5">
            <w:pPr>
              <w:pStyle w:val="ListParagraph"/>
              <w:numPr>
                <w:ilvl w:val="0"/>
                <w:numId w:val="34"/>
              </w:numPr>
              <w:spacing w:before="120" w:after="120"/>
            </w:pPr>
            <w:r>
              <w:t>Pursuing this collectively is far more effective than pursuing it individually.</w:t>
            </w:r>
          </w:p>
          <w:p w:rsidR="00CA43DD" w:rsidRPr="00BA13B7" w:rsidRDefault="00CA43DD" w:rsidP="00FD3DD5">
            <w:pPr>
              <w:pStyle w:val="ListParagraph"/>
              <w:numPr>
                <w:ilvl w:val="0"/>
                <w:numId w:val="34"/>
              </w:numPr>
              <w:spacing w:before="120" w:after="120"/>
            </w:pPr>
            <w:r>
              <w:t>Board structure will be meaningful, so industry will see the benefit in participating.</w:t>
            </w:r>
          </w:p>
        </w:tc>
        <w:tc>
          <w:tcPr>
            <w:tcW w:w="7200" w:type="dxa"/>
            <w:gridSpan w:val="2"/>
            <w:vAlign w:val="center"/>
          </w:tcPr>
          <w:p w:rsidR="001F3BA7" w:rsidRPr="00BA13B7" w:rsidRDefault="001D5420" w:rsidP="00FD3DD5">
            <w:pPr>
              <w:pStyle w:val="ListParagraph"/>
              <w:numPr>
                <w:ilvl w:val="0"/>
                <w:numId w:val="35"/>
              </w:numPr>
              <w:spacing w:before="120" w:after="120"/>
            </w:pPr>
            <w:r>
              <w:t>Industry is very busy and may be resistant.</w:t>
            </w:r>
          </w:p>
        </w:tc>
      </w:tr>
    </w:tbl>
    <w:p w:rsidR="001F3BA7" w:rsidRPr="00BA13B7" w:rsidRDefault="001F3BA7" w:rsidP="001F3BA7">
      <w:pPr>
        <w:spacing w:before="120" w:after="120"/>
      </w:pPr>
    </w:p>
    <w:p w:rsidR="001F3BA7" w:rsidRPr="00BA13B7" w:rsidRDefault="001F3BA7" w:rsidP="001F3BA7">
      <w:pPr>
        <w:spacing w:before="120" w:after="120"/>
      </w:pPr>
    </w:p>
    <w:p w:rsidR="001F3BA7" w:rsidRPr="00B7492B" w:rsidRDefault="001F3BA7" w:rsidP="00B7492B">
      <w:pPr>
        <w:pStyle w:val="Heading3"/>
        <w:spacing w:after="120"/>
        <w:rPr>
          <w:i/>
          <w:color w:val="auto"/>
        </w:rPr>
      </w:pPr>
      <w:bookmarkStart w:id="44" w:name="_Toc10804152"/>
      <w:r w:rsidRPr="00B7492B">
        <w:rPr>
          <w:i/>
          <w:color w:val="auto"/>
        </w:rPr>
        <w:lastRenderedPageBreak/>
        <w:t>Goal Statement</w:t>
      </w:r>
      <w:r w:rsidR="00692FD2" w:rsidRPr="00B7492B">
        <w:rPr>
          <w:i/>
          <w:color w:val="auto"/>
        </w:rPr>
        <w:t xml:space="preserve"> </w:t>
      </w:r>
      <w:r w:rsidR="00463B5E" w:rsidRPr="00B7492B">
        <w:rPr>
          <w:i/>
          <w:color w:val="auto"/>
        </w:rPr>
        <w:t>#4</w:t>
      </w:r>
      <w:r w:rsidRPr="00B7492B">
        <w:rPr>
          <w:i/>
          <w:color w:val="auto"/>
        </w:rPr>
        <w:t xml:space="preserve">: </w:t>
      </w:r>
      <w:r w:rsidR="006511A4" w:rsidRPr="00B7492B">
        <w:rPr>
          <w:i/>
          <w:color w:val="auto"/>
        </w:rPr>
        <w:t>Improve CCAEC Student Transition to Postsecondary Institutions</w:t>
      </w:r>
      <w:bookmarkEnd w:id="44"/>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99"/>
        <w:gridCol w:w="2399"/>
        <w:gridCol w:w="2398"/>
        <w:gridCol w:w="2398"/>
        <w:gridCol w:w="2398"/>
        <w:gridCol w:w="2398"/>
      </w:tblGrid>
      <w:tr w:rsidR="001F3BA7" w:rsidRPr="00BA13B7" w:rsidTr="00CA0D8E">
        <w:trPr>
          <w:trHeight w:val="576"/>
          <w:tblHeader/>
        </w:trPr>
        <w:tc>
          <w:tcPr>
            <w:tcW w:w="2399" w:type="dxa"/>
            <w:shd w:val="clear" w:color="auto" w:fill="00206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Inputs</w:t>
            </w:r>
          </w:p>
        </w:tc>
        <w:tc>
          <w:tcPr>
            <w:tcW w:w="2399" w:type="dxa"/>
            <w:shd w:val="clear" w:color="auto" w:fill="7030A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Activities</w:t>
            </w:r>
          </w:p>
        </w:tc>
        <w:tc>
          <w:tcPr>
            <w:tcW w:w="2398" w:type="dxa"/>
            <w:shd w:val="clear" w:color="auto" w:fill="993366"/>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Outputs</w:t>
            </w:r>
          </w:p>
        </w:tc>
        <w:tc>
          <w:tcPr>
            <w:tcW w:w="2398" w:type="dxa"/>
            <w:shd w:val="clear" w:color="auto" w:fill="8496B0" w:themeFill="text2" w:themeFillTint="99"/>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Immediate (Short-Term) Outcomes</w:t>
            </w:r>
          </w:p>
        </w:tc>
        <w:tc>
          <w:tcPr>
            <w:tcW w:w="2398" w:type="dxa"/>
            <w:shd w:val="clear" w:color="auto" w:fill="C45911" w:themeFill="accent2" w:themeFillShade="BF"/>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Intermediate Outcomes</w:t>
            </w:r>
          </w:p>
        </w:tc>
        <w:tc>
          <w:tcPr>
            <w:tcW w:w="2398" w:type="dxa"/>
            <w:shd w:val="clear" w:color="auto" w:fill="FFC00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Long Term Outcomes / Impact</w:t>
            </w:r>
          </w:p>
        </w:tc>
      </w:tr>
      <w:tr w:rsidR="001F3BA7" w:rsidRPr="00BA13B7" w:rsidTr="00CA0D8E">
        <w:trPr>
          <w:trHeight w:val="576"/>
          <w:tblHeader/>
        </w:trPr>
        <w:tc>
          <w:tcPr>
            <w:tcW w:w="2399" w:type="dxa"/>
            <w:vAlign w:val="center"/>
          </w:tcPr>
          <w:p w:rsidR="001F3BA7" w:rsidRPr="00BA13B7" w:rsidRDefault="001F3BA7" w:rsidP="00CA0D8E">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In order to complete our set of activities we will need the following: </w:t>
            </w:r>
          </w:p>
        </w:tc>
        <w:tc>
          <w:tcPr>
            <w:tcW w:w="2399" w:type="dxa"/>
            <w:vAlign w:val="center"/>
          </w:tcPr>
          <w:p w:rsidR="001F3BA7" w:rsidRPr="00BA13B7" w:rsidRDefault="001F3BA7" w:rsidP="00CA0D8E">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In order to address our problem or asset we will accomplish  the following activities: </w:t>
            </w:r>
          </w:p>
        </w:tc>
        <w:tc>
          <w:tcPr>
            <w:tcW w:w="2398" w:type="dxa"/>
            <w:vAlign w:val="center"/>
          </w:tcPr>
          <w:p w:rsidR="001F3BA7" w:rsidRPr="00BA13B7" w:rsidRDefault="001F3BA7" w:rsidP="00CA0D8E">
            <w:pPr>
              <w:spacing w:before="60" w:after="60"/>
              <w:jc w:val="center"/>
              <w:rPr>
                <w:rFonts w:cs="Times New Roman"/>
                <w:i/>
                <w:color w:val="767171" w:themeColor="background2" w:themeShade="80"/>
                <w:sz w:val="14"/>
                <w:szCs w:val="14"/>
              </w:rPr>
            </w:pPr>
            <w:r w:rsidRPr="00BA13B7">
              <w:rPr>
                <w:rFonts w:cs="Times New Roman"/>
                <w:i/>
                <w:color w:val="767171" w:themeColor="background2" w:themeShade="80"/>
                <w:sz w:val="14"/>
                <w:szCs w:val="14"/>
              </w:rPr>
              <w:t xml:space="preserve">We expect that once accomplished, these activities will produce the following evidence or service delivery: </w:t>
            </w:r>
          </w:p>
        </w:tc>
        <w:tc>
          <w:tcPr>
            <w:tcW w:w="2398" w:type="dxa"/>
            <w:vAlign w:val="center"/>
          </w:tcPr>
          <w:p w:rsidR="001F3BA7" w:rsidRPr="00BA13B7" w:rsidRDefault="001F3BA7" w:rsidP="00CA0D8E">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the next year:</w:t>
            </w:r>
          </w:p>
        </w:tc>
        <w:tc>
          <w:tcPr>
            <w:tcW w:w="2398" w:type="dxa"/>
            <w:vAlign w:val="center"/>
          </w:tcPr>
          <w:p w:rsidR="001F3BA7" w:rsidRPr="00BA13B7" w:rsidRDefault="001F3BA7" w:rsidP="00CA0D8E">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1-3 years:</w:t>
            </w:r>
          </w:p>
        </w:tc>
        <w:tc>
          <w:tcPr>
            <w:tcW w:w="2398" w:type="dxa"/>
            <w:vAlign w:val="center"/>
          </w:tcPr>
          <w:p w:rsidR="001F3BA7" w:rsidRPr="00BA13B7" w:rsidRDefault="001F3BA7" w:rsidP="00CA0D8E">
            <w:pPr>
              <w:spacing w:before="60" w:after="60"/>
              <w:jc w:val="center"/>
              <w:rPr>
                <w:color w:val="767171" w:themeColor="background2" w:themeShade="80"/>
              </w:rPr>
            </w:pPr>
            <w:r w:rsidRPr="00BA13B7">
              <w:rPr>
                <w:rFonts w:cs="Times New Roman"/>
                <w:i/>
                <w:color w:val="767171" w:themeColor="background2" w:themeShade="80"/>
                <w:sz w:val="14"/>
                <w:szCs w:val="14"/>
              </w:rPr>
              <w:t>We expect that if  accomplished, these activities will lead to the following changes in the 3-5 years:</w:t>
            </w:r>
          </w:p>
        </w:tc>
      </w:tr>
      <w:tr w:rsidR="001F3BA7" w:rsidRPr="00BA13B7" w:rsidTr="004F6EE8">
        <w:trPr>
          <w:trHeight w:val="4176"/>
        </w:trPr>
        <w:tc>
          <w:tcPr>
            <w:tcW w:w="2399" w:type="dxa"/>
          </w:tcPr>
          <w:p w:rsidR="001F3BA7" w:rsidRPr="00BA13B7" w:rsidRDefault="001F3BA7" w:rsidP="004F6EE8">
            <w:pPr>
              <w:pStyle w:val="ListParagraph"/>
              <w:ind w:left="360"/>
              <w:rPr>
                <w:rFonts w:cs="Times New Roman"/>
                <w:sz w:val="20"/>
              </w:rPr>
            </w:pPr>
          </w:p>
          <w:p w:rsidR="004F6EE8" w:rsidRDefault="00222B4F" w:rsidP="00FD3DD5">
            <w:pPr>
              <w:pStyle w:val="ListParagraph"/>
              <w:numPr>
                <w:ilvl w:val="0"/>
                <w:numId w:val="13"/>
              </w:numPr>
              <w:ind w:left="247" w:hanging="247"/>
              <w:rPr>
                <w:rFonts w:cs="Times New Roman"/>
                <w:sz w:val="20"/>
              </w:rPr>
            </w:pPr>
            <w:r>
              <w:rPr>
                <w:rFonts w:cs="Times New Roman"/>
                <w:sz w:val="20"/>
              </w:rPr>
              <w:t>Reliable data to inform and drive process.</w:t>
            </w:r>
          </w:p>
          <w:p w:rsidR="00222B4F" w:rsidRDefault="00222B4F" w:rsidP="00FD3DD5">
            <w:pPr>
              <w:pStyle w:val="ListParagraph"/>
              <w:numPr>
                <w:ilvl w:val="0"/>
                <w:numId w:val="13"/>
              </w:numPr>
              <w:ind w:left="247" w:hanging="247"/>
              <w:rPr>
                <w:rFonts w:cs="Times New Roman"/>
                <w:sz w:val="20"/>
              </w:rPr>
            </w:pPr>
            <w:r>
              <w:rPr>
                <w:rFonts w:cs="Times New Roman"/>
                <w:sz w:val="20"/>
              </w:rPr>
              <w:t>Reliable information regarding transition best practices and transition specialist’s job descriptions.</w:t>
            </w:r>
          </w:p>
          <w:p w:rsidR="00222B4F" w:rsidRDefault="00222B4F" w:rsidP="00FD3DD5">
            <w:pPr>
              <w:pStyle w:val="ListParagraph"/>
              <w:numPr>
                <w:ilvl w:val="0"/>
                <w:numId w:val="13"/>
              </w:numPr>
              <w:ind w:left="247" w:hanging="247"/>
              <w:rPr>
                <w:rFonts w:cs="Times New Roman"/>
                <w:sz w:val="20"/>
              </w:rPr>
            </w:pPr>
            <w:r>
              <w:rPr>
                <w:rFonts w:cs="Times New Roman"/>
                <w:sz w:val="20"/>
              </w:rPr>
              <w:t>Sufficient staff to implement Transition Plan and financial resources to pay for the staff.</w:t>
            </w:r>
          </w:p>
          <w:p w:rsidR="00222B4F" w:rsidRDefault="00222B4F" w:rsidP="00FD3DD5">
            <w:pPr>
              <w:pStyle w:val="ListParagraph"/>
              <w:numPr>
                <w:ilvl w:val="0"/>
                <w:numId w:val="13"/>
              </w:numPr>
              <w:ind w:left="247" w:hanging="247"/>
              <w:rPr>
                <w:rFonts w:cs="Times New Roman"/>
                <w:sz w:val="20"/>
              </w:rPr>
            </w:pPr>
            <w:r>
              <w:rPr>
                <w:rFonts w:cs="Times New Roman"/>
                <w:sz w:val="20"/>
              </w:rPr>
              <w:t>CCD support in providing transition credit classes</w:t>
            </w:r>
            <w:r w:rsidR="00CC4192">
              <w:rPr>
                <w:rFonts w:cs="Times New Roman"/>
                <w:sz w:val="20"/>
              </w:rPr>
              <w:t>.</w:t>
            </w:r>
          </w:p>
          <w:p w:rsidR="00CC4192" w:rsidRPr="00BA13B7" w:rsidRDefault="00CC4192" w:rsidP="00FD3DD5">
            <w:pPr>
              <w:pStyle w:val="ListParagraph"/>
              <w:numPr>
                <w:ilvl w:val="0"/>
                <w:numId w:val="13"/>
              </w:numPr>
              <w:ind w:left="247" w:hanging="247"/>
              <w:rPr>
                <w:rFonts w:cs="Times New Roman"/>
                <w:sz w:val="20"/>
              </w:rPr>
            </w:pPr>
            <w:r>
              <w:rPr>
                <w:rFonts w:cs="Times New Roman"/>
                <w:sz w:val="20"/>
              </w:rPr>
              <w:t>Transportation to local community college.</w:t>
            </w:r>
          </w:p>
        </w:tc>
        <w:tc>
          <w:tcPr>
            <w:tcW w:w="2399" w:type="dxa"/>
          </w:tcPr>
          <w:p w:rsidR="004F6EE8" w:rsidRPr="00BA13B7" w:rsidRDefault="004F6EE8" w:rsidP="004F6EE8">
            <w:pPr>
              <w:pStyle w:val="ListParagraph"/>
              <w:ind w:left="360"/>
              <w:rPr>
                <w:rFonts w:cs="Times New Roman"/>
                <w:sz w:val="20"/>
              </w:rPr>
            </w:pPr>
          </w:p>
          <w:p w:rsidR="001F3BA7" w:rsidRDefault="00E06AC5" w:rsidP="00FD3DD5">
            <w:pPr>
              <w:pStyle w:val="ListParagraph"/>
              <w:numPr>
                <w:ilvl w:val="0"/>
                <w:numId w:val="14"/>
              </w:numPr>
              <w:ind w:left="188" w:hanging="188"/>
              <w:rPr>
                <w:rFonts w:cs="Times New Roman"/>
                <w:sz w:val="20"/>
              </w:rPr>
            </w:pPr>
            <w:r>
              <w:rPr>
                <w:rFonts w:cs="Times New Roman"/>
                <w:sz w:val="20"/>
              </w:rPr>
              <w:t>Create Job Description for Transition Specialist and job performance rubric based on student outcomes.</w:t>
            </w:r>
          </w:p>
          <w:p w:rsidR="00E06AC5" w:rsidRDefault="00E06AC5" w:rsidP="00FD3DD5">
            <w:pPr>
              <w:pStyle w:val="ListParagraph"/>
              <w:numPr>
                <w:ilvl w:val="0"/>
                <w:numId w:val="14"/>
              </w:numPr>
              <w:ind w:left="188" w:hanging="188"/>
              <w:rPr>
                <w:rFonts w:cs="Times New Roman"/>
                <w:sz w:val="20"/>
              </w:rPr>
            </w:pPr>
            <w:r>
              <w:rPr>
                <w:rFonts w:cs="Times New Roman"/>
                <w:sz w:val="20"/>
              </w:rPr>
              <w:t>Strengthen community college partnership.</w:t>
            </w:r>
          </w:p>
          <w:p w:rsidR="00E06AC5" w:rsidRDefault="00E06AC5" w:rsidP="00FD3DD5">
            <w:pPr>
              <w:pStyle w:val="ListParagraph"/>
              <w:numPr>
                <w:ilvl w:val="0"/>
                <w:numId w:val="14"/>
              </w:numPr>
              <w:ind w:left="188" w:hanging="188"/>
              <w:rPr>
                <w:rFonts w:cs="Times New Roman"/>
                <w:sz w:val="20"/>
              </w:rPr>
            </w:pPr>
            <w:r>
              <w:rPr>
                <w:rFonts w:cs="Times New Roman"/>
                <w:sz w:val="20"/>
              </w:rPr>
              <w:t>Create Counseling 160 classes on K-12 school campuses.</w:t>
            </w:r>
          </w:p>
          <w:p w:rsidR="00E06AC5" w:rsidRDefault="00E06AC5" w:rsidP="00FD3DD5">
            <w:pPr>
              <w:pStyle w:val="ListParagraph"/>
              <w:numPr>
                <w:ilvl w:val="0"/>
                <w:numId w:val="14"/>
              </w:numPr>
              <w:ind w:left="188" w:hanging="188"/>
              <w:rPr>
                <w:rFonts w:cs="Times New Roman"/>
                <w:sz w:val="20"/>
              </w:rPr>
            </w:pPr>
            <w:r>
              <w:rPr>
                <w:rFonts w:cs="Times New Roman"/>
                <w:sz w:val="20"/>
              </w:rPr>
              <w:t>Set-up protocols for identifying potential enrollees to the class and target efforts those students.</w:t>
            </w:r>
          </w:p>
          <w:p w:rsidR="00E06AC5" w:rsidRPr="00BA13B7" w:rsidRDefault="00E06AC5" w:rsidP="00FD3DD5">
            <w:pPr>
              <w:pStyle w:val="ListParagraph"/>
              <w:numPr>
                <w:ilvl w:val="0"/>
                <w:numId w:val="14"/>
              </w:numPr>
              <w:ind w:left="188" w:hanging="188"/>
              <w:rPr>
                <w:rFonts w:cs="Times New Roman"/>
                <w:sz w:val="20"/>
              </w:rPr>
            </w:pPr>
            <w:r>
              <w:rPr>
                <w:rFonts w:cs="Times New Roman"/>
                <w:sz w:val="20"/>
              </w:rPr>
              <w:t>Program course into member master schedules</w:t>
            </w:r>
          </w:p>
        </w:tc>
        <w:tc>
          <w:tcPr>
            <w:tcW w:w="2398" w:type="dxa"/>
          </w:tcPr>
          <w:p w:rsidR="001F3BA7" w:rsidRPr="00BA13B7" w:rsidRDefault="001F3BA7" w:rsidP="004F6EE8">
            <w:pPr>
              <w:pStyle w:val="ListParagraph"/>
              <w:ind w:left="360"/>
              <w:rPr>
                <w:rFonts w:cs="Times New Roman"/>
                <w:sz w:val="20"/>
              </w:rPr>
            </w:pPr>
          </w:p>
          <w:p w:rsidR="004F6EE8" w:rsidRDefault="00E06AC5" w:rsidP="00FD3DD5">
            <w:pPr>
              <w:pStyle w:val="ListParagraph"/>
              <w:numPr>
                <w:ilvl w:val="0"/>
                <w:numId w:val="15"/>
              </w:numPr>
              <w:ind w:left="219" w:hanging="219"/>
              <w:rPr>
                <w:rFonts w:cs="Times New Roman"/>
                <w:sz w:val="20"/>
              </w:rPr>
            </w:pPr>
            <w:r>
              <w:rPr>
                <w:rFonts w:cs="Times New Roman"/>
                <w:sz w:val="20"/>
              </w:rPr>
              <w:t>Transition Specialist is hired.</w:t>
            </w:r>
          </w:p>
          <w:p w:rsidR="00E06AC5" w:rsidRDefault="00E06AC5" w:rsidP="00FD3DD5">
            <w:pPr>
              <w:pStyle w:val="ListParagraph"/>
              <w:numPr>
                <w:ilvl w:val="0"/>
                <w:numId w:val="15"/>
              </w:numPr>
              <w:ind w:left="219" w:hanging="219"/>
              <w:rPr>
                <w:rFonts w:cs="Times New Roman"/>
                <w:sz w:val="20"/>
              </w:rPr>
            </w:pPr>
            <w:r>
              <w:rPr>
                <w:rFonts w:cs="Times New Roman"/>
                <w:sz w:val="20"/>
              </w:rPr>
              <w:t xml:space="preserve">Transition Specialist </w:t>
            </w:r>
            <w:r w:rsidR="00654452">
              <w:rPr>
                <w:rFonts w:cs="Times New Roman"/>
                <w:sz w:val="20"/>
              </w:rPr>
              <w:t>performance and engagement reports address the job description rubric.</w:t>
            </w:r>
          </w:p>
          <w:p w:rsidR="00654452" w:rsidRDefault="00654452" w:rsidP="00FD3DD5">
            <w:pPr>
              <w:pStyle w:val="ListParagraph"/>
              <w:numPr>
                <w:ilvl w:val="0"/>
                <w:numId w:val="15"/>
              </w:numPr>
              <w:ind w:left="219" w:hanging="219"/>
              <w:rPr>
                <w:rFonts w:cs="Times New Roman"/>
                <w:sz w:val="20"/>
              </w:rPr>
            </w:pPr>
            <w:r>
              <w:rPr>
                <w:rFonts w:cs="Times New Roman"/>
                <w:sz w:val="20"/>
              </w:rPr>
              <w:t>Counseling 160 is on each school’s Master Schedule.</w:t>
            </w:r>
          </w:p>
          <w:p w:rsidR="00654452" w:rsidRDefault="001F0FE6" w:rsidP="00FD3DD5">
            <w:pPr>
              <w:pStyle w:val="ListParagraph"/>
              <w:numPr>
                <w:ilvl w:val="0"/>
                <w:numId w:val="15"/>
              </w:numPr>
              <w:ind w:left="219" w:hanging="219"/>
              <w:rPr>
                <w:rFonts w:cs="Times New Roman"/>
                <w:sz w:val="20"/>
              </w:rPr>
            </w:pPr>
            <w:r>
              <w:rPr>
                <w:rFonts w:cs="Times New Roman"/>
                <w:sz w:val="20"/>
              </w:rPr>
              <w:t>Marketing collateral for Citrus College and K-12 schools will advertise course.</w:t>
            </w:r>
          </w:p>
          <w:p w:rsidR="000E5CE5" w:rsidRPr="00BA13B7" w:rsidRDefault="000E5CE5" w:rsidP="00FD3DD5">
            <w:pPr>
              <w:pStyle w:val="ListParagraph"/>
              <w:numPr>
                <w:ilvl w:val="0"/>
                <w:numId w:val="15"/>
              </w:numPr>
              <w:ind w:left="219" w:hanging="219"/>
              <w:rPr>
                <w:rFonts w:cs="Times New Roman"/>
                <w:sz w:val="20"/>
              </w:rPr>
            </w:pPr>
            <w:r>
              <w:rPr>
                <w:rFonts w:cs="Times New Roman"/>
                <w:sz w:val="20"/>
              </w:rPr>
              <w:t>Communication collateral (emails, board meeting agendas and minutes, etc.) will demonstrate increased connection with Citrus College.</w:t>
            </w:r>
          </w:p>
        </w:tc>
        <w:tc>
          <w:tcPr>
            <w:tcW w:w="2398" w:type="dxa"/>
          </w:tcPr>
          <w:p w:rsidR="001F3BA7" w:rsidRPr="00BA13B7" w:rsidRDefault="001F3BA7" w:rsidP="004F6EE8">
            <w:pPr>
              <w:pStyle w:val="ListParagraph"/>
              <w:ind w:left="360"/>
              <w:rPr>
                <w:rFonts w:cs="Times New Roman"/>
                <w:sz w:val="20"/>
              </w:rPr>
            </w:pPr>
          </w:p>
          <w:p w:rsidR="004F6EE8" w:rsidRPr="00BA13B7" w:rsidRDefault="00654452" w:rsidP="00FD3DD5">
            <w:pPr>
              <w:pStyle w:val="ListParagraph"/>
              <w:numPr>
                <w:ilvl w:val="0"/>
                <w:numId w:val="16"/>
              </w:numPr>
              <w:ind w:left="161" w:hanging="161"/>
              <w:rPr>
                <w:rFonts w:cs="Times New Roman"/>
                <w:sz w:val="20"/>
              </w:rPr>
            </w:pPr>
            <w:r>
              <w:rPr>
                <w:rFonts w:cs="Times New Roman"/>
                <w:sz w:val="20"/>
              </w:rPr>
              <w:t xml:space="preserve">By the end of the 2019-20 school year, the number of student transitions to postsecondary </w:t>
            </w:r>
            <w:r w:rsidR="001F0FE6">
              <w:rPr>
                <w:rFonts w:cs="Times New Roman"/>
                <w:sz w:val="20"/>
              </w:rPr>
              <w:t xml:space="preserve">institutions </w:t>
            </w:r>
            <w:r>
              <w:rPr>
                <w:rFonts w:cs="Times New Roman"/>
                <w:sz w:val="20"/>
              </w:rPr>
              <w:t>consortium-wide will increase 30% from current levels.</w:t>
            </w:r>
          </w:p>
        </w:tc>
        <w:tc>
          <w:tcPr>
            <w:tcW w:w="2398" w:type="dxa"/>
          </w:tcPr>
          <w:p w:rsidR="001F3BA7" w:rsidRPr="00BA13B7" w:rsidRDefault="001F3BA7" w:rsidP="004F6EE8">
            <w:pPr>
              <w:pStyle w:val="ListParagraph"/>
              <w:ind w:left="360"/>
              <w:rPr>
                <w:rFonts w:cs="Times New Roman"/>
                <w:sz w:val="20"/>
              </w:rPr>
            </w:pPr>
          </w:p>
          <w:p w:rsidR="004F6EE8" w:rsidRPr="00BA13B7" w:rsidRDefault="00654452" w:rsidP="00FD3DD5">
            <w:pPr>
              <w:pStyle w:val="ListParagraph"/>
              <w:numPr>
                <w:ilvl w:val="0"/>
                <w:numId w:val="17"/>
              </w:numPr>
              <w:ind w:left="193" w:hanging="193"/>
              <w:rPr>
                <w:rFonts w:cs="Times New Roman"/>
                <w:sz w:val="20"/>
              </w:rPr>
            </w:pPr>
            <w:r>
              <w:rPr>
                <w:rFonts w:cs="Times New Roman"/>
                <w:sz w:val="20"/>
              </w:rPr>
              <w:t>By the end of the 2021-22 school year,</w:t>
            </w:r>
            <w:r w:rsidR="001F0FE6">
              <w:rPr>
                <w:rFonts w:cs="Times New Roman"/>
                <w:sz w:val="20"/>
              </w:rPr>
              <w:t xml:space="preserve"> the number of student transitions to postsecondary institutions consortium-wide will increase 50% from 2018-19 levels.</w:t>
            </w:r>
          </w:p>
        </w:tc>
        <w:tc>
          <w:tcPr>
            <w:tcW w:w="2398" w:type="dxa"/>
          </w:tcPr>
          <w:p w:rsidR="001F3BA7" w:rsidRPr="00BA13B7" w:rsidRDefault="001F3BA7" w:rsidP="004F6EE8">
            <w:pPr>
              <w:pStyle w:val="ListParagraph"/>
              <w:ind w:left="360"/>
              <w:rPr>
                <w:rFonts w:cs="Times New Roman"/>
                <w:sz w:val="20"/>
              </w:rPr>
            </w:pPr>
          </w:p>
          <w:p w:rsidR="004F6EE8" w:rsidRPr="00BA13B7" w:rsidRDefault="001F0FE6" w:rsidP="00FD3DD5">
            <w:pPr>
              <w:pStyle w:val="ListParagraph"/>
              <w:numPr>
                <w:ilvl w:val="0"/>
                <w:numId w:val="18"/>
              </w:numPr>
              <w:ind w:left="225" w:hanging="225"/>
              <w:rPr>
                <w:rFonts w:cs="Times New Roman"/>
                <w:sz w:val="20"/>
              </w:rPr>
            </w:pPr>
            <w:r>
              <w:rPr>
                <w:rFonts w:cs="Times New Roman"/>
                <w:sz w:val="20"/>
              </w:rPr>
              <w:t>Beyond the 2021-22 school year, the number of student transitions to postsecondary institutions consortium-wide will remain 75% from 2018-19 levels.</w:t>
            </w:r>
          </w:p>
        </w:tc>
      </w:tr>
    </w:tbl>
    <w:p w:rsidR="001F3BA7" w:rsidRPr="00BA13B7" w:rsidRDefault="001F3BA7" w:rsidP="001F3BA7">
      <w:pPr>
        <w:spacing w:after="0"/>
        <w:rPr>
          <w:rFonts w:cs="Times New Roman"/>
          <w:sz w:val="12"/>
          <w:szCs w:val="8"/>
        </w:rPr>
      </w:pPr>
    </w:p>
    <w:tbl>
      <w:tblPr>
        <w:tblStyle w:val="TableGrid"/>
        <w:tblW w:w="144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97"/>
        <w:gridCol w:w="7193"/>
        <w:gridCol w:w="10"/>
      </w:tblGrid>
      <w:tr w:rsidR="001F3BA7" w:rsidRPr="00BA13B7" w:rsidTr="00CA0D8E">
        <w:trPr>
          <w:gridAfter w:val="1"/>
          <w:wAfter w:w="10" w:type="dxa"/>
          <w:trHeight w:val="288"/>
        </w:trPr>
        <w:tc>
          <w:tcPr>
            <w:tcW w:w="7195" w:type="dxa"/>
            <w:shd w:val="clear" w:color="auto" w:fill="808080" w:themeFill="background1" w:themeFillShade="8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Assumptions</w:t>
            </w:r>
          </w:p>
        </w:tc>
        <w:tc>
          <w:tcPr>
            <w:tcW w:w="7195" w:type="dxa"/>
            <w:shd w:val="clear" w:color="auto" w:fill="808080" w:themeFill="background1" w:themeFillShade="80"/>
            <w:vAlign w:val="center"/>
          </w:tcPr>
          <w:p w:rsidR="001F3BA7" w:rsidRPr="00BA13B7" w:rsidRDefault="001F3BA7" w:rsidP="00CA0D8E">
            <w:pPr>
              <w:spacing w:before="120" w:after="120"/>
              <w:jc w:val="center"/>
              <w:rPr>
                <w:rFonts w:cs="Times New Roman"/>
                <w:color w:val="FFFFFF" w:themeColor="background1"/>
              </w:rPr>
            </w:pPr>
            <w:r w:rsidRPr="00BA13B7">
              <w:rPr>
                <w:rFonts w:cs="Times New Roman"/>
                <w:color w:val="FFFFFF" w:themeColor="background1"/>
              </w:rPr>
              <w:t>External Factors</w:t>
            </w:r>
          </w:p>
        </w:tc>
      </w:tr>
      <w:tr w:rsidR="001F3BA7" w:rsidRPr="00BA13B7" w:rsidTr="00CA0D8E">
        <w:trPr>
          <w:trHeight w:val="1296"/>
        </w:trPr>
        <w:tc>
          <w:tcPr>
            <w:tcW w:w="7200" w:type="dxa"/>
            <w:vAlign w:val="center"/>
          </w:tcPr>
          <w:p w:rsidR="001F3BA7" w:rsidRPr="00BA13B7" w:rsidRDefault="001D5420" w:rsidP="00FD3DD5">
            <w:pPr>
              <w:pStyle w:val="ListParagraph"/>
              <w:numPr>
                <w:ilvl w:val="0"/>
                <w:numId w:val="36"/>
              </w:numPr>
              <w:spacing w:before="120" w:after="120"/>
            </w:pPr>
            <w:r>
              <w:t>Success and continued pursuit of a Transition Specialist model must be informed by attainment of specific metrics.</w:t>
            </w:r>
          </w:p>
        </w:tc>
        <w:tc>
          <w:tcPr>
            <w:tcW w:w="7200" w:type="dxa"/>
            <w:gridSpan w:val="2"/>
            <w:vAlign w:val="center"/>
          </w:tcPr>
          <w:p w:rsidR="001F3BA7" w:rsidRPr="00BA13B7" w:rsidRDefault="001D5420" w:rsidP="00FD3DD5">
            <w:pPr>
              <w:pStyle w:val="ListParagraph"/>
              <w:numPr>
                <w:ilvl w:val="0"/>
                <w:numId w:val="37"/>
              </w:numPr>
              <w:spacing w:before="120" w:after="120"/>
            </w:pPr>
            <w:r>
              <w:t>K-12 members need increased stability in CCD partnership.</w:t>
            </w:r>
          </w:p>
        </w:tc>
      </w:tr>
    </w:tbl>
    <w:p w:rsidR="006511A4" w:rsidRPr="00BA13B7" w:rsidRDefault="006511A4" w:rsidP="001F3BA7">
      <w:pPr>
        <w:spacing w:before="120" w:after="120"/>
        <w:sectPr w:rsidR="006511A4" w:rsidRPr="00BA13B7" w:rsidSect="002652A0">
          <w:pgSz w:w="15840" w:h="12240" w:orient="landscape"/>
          <w:pgMar w:top="1440" w:right="720" w:bottom="1440" w:left="720" w:header="720" w:footer="720" w:gutter="0"/>
          <w:cols w:space="720"/>
          <w:docGrid w:linePitch="360"/>
        </w:sectPr>
      </w:pPr>
    </w:p>
    <w:p w:rsidR="001F3BA7" w:rsidRPr="00BA13B7" w:rsidRDefault="001F3BA7" w:rsidP="001F3BA7">
      <w:pPr>
        <w:spacing w:before="120" w:after="120"/>
      </w:pPr>
    </w:p>
    <w:p w:rsidR="001F3BA7" w:rsidRPr="00BA13B7" w:rsidRDefault="006511A4" w:rsidP="004F6EE8">
      <w:pPr>
        <w:pStyle w:val="Heading3"/>
        <w:spacing w:after="120"/>
        <w:rPr>
          <w:rFonts w:asciiTheme="minorHAnsi" w:hAnsiTheme="minorHAnsi" w:cs="Times New Roman"/>
          <w:color w:val="auto"/>
        </w:rPr>
      </w:pPr>
      <w:bookmarkStart w:id="45" w:name="_Toc10804153"/>
      <w:r w:rsidRPr="00BA13B7">
        <w:rPr>
          <w:rFonts w:asciiTheme="minorHAnsi" w:hAnsiTheme="minorHAnsi" w:cs="Times New Roman"/>
          <w:color w:val="auto"/>
        </w:rPr>
        <w:t>Table 3. Progress Indicators</w:t>
      </w:r>
      <w:bookmarkEnd w:id="45"/>
    </w:p>
    <w:p w:rsidR="006511A4" w:rsidRPr="00BA13B7" w:rsidRDefault="004F6EE8" w:rsidP="006511A4">
      <w:pPr>
        <w:rPr>
          <w:sz w:val="20"/>
          <w:szCs w:val="21"/>
        </w:rPr>
      </w:pPr>
      <w:r w:rsidRPr="00BA13B7">
        <w:rPr>
          <w:rFonts w:cs="Times New Roman"/>
          <w:i/>
          <w:color w:val="767171" w:themeColor="background2" w:themeShade="80"/>
          <w:sz w:val="20"/>
          <w:szCs w:val="21"/>
        </w:rPr>
        <w:t>Provide three to five SMART (Specific, Measurable, Attainable, Realistic, Time-Sensitive) objectives by which your consortium will assess progress and impact by the next three year cycle</w:t>
      </w:r>
      <w:r w:rsidR="00BA13B7" w:rsidRPr="00BA13B7">
        <w:rPr>
          <w:rFonts w:cs="Times New Roman"/>
          <w:i/>
          <w:color w:val="767171" w:themeColor="background2" w:themeShade="80"/>
          <w:sz w:val="20"/>
          <w:szCs w:val="21"/>
        </w:rPr>
        <w:t>. These objectives should map directly to CCAEC Logic Models activities, outputs and / or outcomes, as these will be a driving factor for annual plans throughout the funding period.</w:t>
      </w:r>
    </w:p>
    <w:p w:rsidR="006865B8" w:rsidRDefault="006865B8" w:rsidP="00FD3DD5">
      <w:pPr>
        <w:pStyle w:val="ListParagraph"/>
        <w:numPr>
          <w:ilvl w:val="0"/>
          <w:numId w:val="19"/>
        </w:numPr>
        <w:spacing w:after="120"/>
      </w:pPr>
      <w:r w:rsidRPr="006865B8">
        <w:t>By the end of the 2021-22 school year, consortium</w:t>
      </w:r>
      <w:r>
        <w:t>-wide student</w:t>
      </w:r>
      <w:r w:rsidRPr="006865B8">
        <w:t xml:space="preserve"> persistence will be 70%</w:t>
      </w:r>
      <w:r>
        <w:t xml:space="preserve"> or higher and</w:t>
      </w:r>
      <w:r w:rsidRPr="006865B8">
        <w:t xml:space="preserve"> consortium student performance will be 50%</w:t>
      </w:r>
      <w:r>
        <w:t xml:space="preserve"> or higher</w:t>
      </w:r>
      <w:r w:rsidRPr="006865B8">
        <w:t>.</w:t>
      </w:r>
    </w:p>
    <w:p w:rsidR="006865B8" w:rsidRPr="006865B8" w:rsidRDefault="006865B8" w:rsidP="006865B8">
      <w:pPr>
        <w:pStyle w:val="ListParagraph"/>
        <w:spacing w:after="120"/>
      </w:pPr>
    </w:p>
    <w:p w:rsidR="00206BF7" w:rsidRDefault="006865B8" w:rsidP="00FD3DD5">
      <w:pPr>
        <w:pStyle w:val="ListParagraph"/>
        <w:numPr>
          <w:ilvl w:val="0"/>
          <w:numId w:val="19"/>
        </w:numPr>
        <w:spacing w:line="240" w:lineRule="auto"/>
      </w:pPr>
      <w:r w:rsidRPr="006865B8">
        <w:t xml:space="preserve">By the end of the 2021-22 school year, consortium-wide CTE enrollment will increase 15% </w:t>
      </w:r>
      <w:r>
        <w:t xml:space="preserve">and </w:t>
      </w:r>
      <w:r w:rsidRPr="006865B8">
        <w:t>the number of consortium-wide CTE job placements</w:t>
      </w:r>
      <w:r>
        <w:t xml:space="preserve"> will increase 15</w:t>
      </w:r>
      <w:r w:rsidRPr="006865B8">
        <w:t xml:space="preserve">% </w:t>
      </w:r>
      <w:r w:rsidR="009B5939">
        <w:t xml:space="preserve">as measured </w:t>
      </w:r>
      <w:r w:rsidRPr="006865B8">
        <w:t>from 2018-19 levels.</w:t>
      </w:r>
    </w:p>
    <w:p w:rsidR="00206BF7" w:rsidRDefault="00206BF7" w:rsidP="00206BF7">
      <w:pPr>
        <w:pStyle w:val="ListParagraph"/>
        <w:spacing w:line="240" w:lineRule="auto"/>
      </w:pPr>
    </w:p>
    <w:p w:rsidR="00206BF7" w:rsidRDefault="009B5939" w:rsidP="00FD3DD5">
      <w:pPr>
        <w:pStyle w:val="ListParagraph"/>
        <w:numPr>
          <w:ilvl w:val="0"/>
          <w:numId w:val="19"/>
        </w:numPr>
        <w:spacing w:after="240" w:line="240" w:lineRule="auto"/>
      </w:pPr>
      <w:r w:rsidRPr="009B5939">
        <w:t>Beyond the 2021-22 school year, the consortium will be placing 100 students annually in regional jobs as a direct result of Advisory Board meetings.</w:t>
      </w:r>
    </w:p>
    <w:p w:rsidR="00206BF7" w:rsidRDefault="00206BF7" w:rsidP="00206BF7">
      <w:pPr>
        <w:pStyle w:val="ListParagraph"/>
      </w:pPr>
    </w:p>
    <w:p w:rsidR="00206BF7" w:rsidRDefault="001F0FE6" w:rsidP="00FD3DD5">
      <w:pPr>
        <w:pStyle w:val="ListParagraph"/>
        <w:numPr>
          <w:ilvl w:val="0"/>
          <w:numId w:val="19"/>
        </w:numPr>
        <w:spacing w:line="240" w:lineRule="auto"/>
      </w:pPr>
      <w:r w:rsidRPr="001F0FE6">
        <w:t>Beyond the 2021-22 school year, the number of student transitions to postsecondary institutions consortium-wide will remain 75% from 2018-19 levels.</w:t>
      </w:r>
    </w:p>
    <w:p w:rsidR="00206BF7" w:rsidRDefault="00206BF7" w:rsidP="00206BF7">
      <w:pPr>
        <w:spacing w:line="480" w:lineRule="auto"/>
      </w:pPr>
    </w:p>
    <w:p w:rsidR="009B5939" w:rsidRPr="009B5939" w:rsidRDefault="009B5939" w:rsidP="009B5939"/>
    <w:p w:rsidR="006511A4" w:rsidRPr="001F0FE6" w:rsidRDefault="006511A4" w:rsidP="001F0FE6">
      <w:r w:rsidRPr="001F0FE6">
        <w:br w:type="page"/>
      </w:r>
    </w:p>
    <w:p w:rsidR="006511A4" w:rsidRDefault="006511A4" w:rsidP="006511A4"/>
    <w:p w:rsidR="006511A4" w:rsidRDefault="006511A4" w:rsidP="006511A4">
      <w:pPr>
        <w:pStyle w:val="Heading2"/>
        <w:rPr>
          <w:color w:val="auto"/>
          <w:sz w:val="4"/>
          <w:szCs w:val="4"/>
        </w:rPr>
      </w:pPr>
      <w:bookmarkStart w:id="46" w:name="_Toc10804154"/>
      <w:r>
        <w:rPr>
          <w:b/>
          <w:color w:val="auto"/>
          <w:sz w:val="28"/>
        </w:rPr>
        <w:t>Section 2.5</w:t>
      </w:r>
      <w:r w:rsidRPr="00D1221A">
        <w:rPr>
          <w:b/>
          <w:color w:val="auto"/>
          <w:sz w:val="28"/>
        </w:rPr>
        <w:t xml:space="preserve"> </w:t>
      </w:r>
      <w:r>
        <w:rPr>
          <w:b/>
          <w:color w:val="auto"/>
          <w:sz w:val="28"/>
        </w:rPr>
        <w:t>Piloting and Implementation</w:t>
      </w:r>
      <w:bookmarkEnd w:id="46"/>
    </w:p>
    <w:p w:rsidR="006511A4" w:rsidRPr="00D1221A" w:rsidRDefault="006511A4" w:rsidP="006511A4">
      <w:r>
        <w:rPr>
          <w:b/>
          <w:noProof/>
          <w:sz w:val="28"/>
        </w:rPr>
        <mc:AlternateContent>
          <mc:Choice Requires="wps">
            <w:drawing>
              <wp:anchor distT="0" distB="0" distL="114300" distR="114300" simplePos="0" relativeHeight="251667456" behindDoc="0" locked="0" layoutInCell="1" allowOverlap="1" wp14:anchorId="2CFD13F6" wp14:editId="03F38DE0">
                <wp:simplePos x="0" y="0"/>
                <wp:positionH relativeFrom="column">
                  <wp:posOffset>-9525</wp:posOffset>
                </wp:positionH>
                <wp:positionV relativeFrom="paragraph">
                  <wp:posOffset>23494</wp:posOffset>
                </wp:positionV>
                <wp:extent cx="60007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6403A"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5pt" to="47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" strokecolor="black [3200]" strokeweight=".5pt">
                <v:stroke joinstyle="miter"/>
              </v:line>
            </w:pict>
          </mc:Fallback>
        </mc:AlternateContent>
      </w:r>
    </w:p>
    <w:p w:rsidR="00B7226F" w:rsidRPr="00B7226F" w:rsidRDefault="00B7226F" w:rsidP="00B7226F">
      <w:r>
        <w:t>Based on this plan and the Goal Statements therein, the consortium is focusing on piloting two new strategies: Industry Advisory Boards and a Transition Specialist</w:t>
      </w:r>
    </w:p>
    <w:p w:rsidR="006511A4" w:rsidRDefault="00B7226F" w:rsidP="00B7226F">
      <w:pPr>
        <w:pStyle w:val="Heading2"/>
        <w:spacing w:after="160"/>
      </w:pPr>
      <w:bookmarkStart w:id="47" w:name="_Toc10804155"/>
      <w:r>
        <w:t>Piloting Advisory Boards and Measuring their Success</w:t>
      </w:r>
      <w:bookmarkEnd w:id="47"/>
    </w:p>
    <w:p w:rsidR="003C2CC1" w:rsidRDefault="00B7226F" w:rsidP="00B7226F">
      <w:r>
        <w:t xml:space="preserve">While industry advisory boards are certainly not a new strategy, CCAEC members have only just reached the level in CTE program development where an Advisory Board can be properly utilized. </w:t>
      </w:r>
    </w:p>
    <w:p w:rsidR="00B7226F" w:rsidRDefault="00B7226F" w:rsidP="00B7226F">
      <w:r>
        <w:t xml:space="preserve">Advisory Boards play an important role in keeping education current on </w:t>
      </w:r>
      <w:r w:rsidR="00CE6AFA">
        <w:t xml:space="preserve">important, new </w:t>
      </w:r>
      <w:r>
        <w:t xml:space="preserve">industry developments and </w:t>
      </w:r>
      <w:r w:rsidR="00CE6AFA">
        <w:t xml:space="preserve">CCAEC Boards will certainly have that function. However, the most critical role of the CCAEC Boards will be to provide hiring projections. Having a number of industry representatives discussing hiring goals and projections does more than help CCAEC member plan for the future. Getting written evidence of these projections in the form of a letter </w:t>
      </w:r>
      <w:r w:rsidR="003C2CC1">
        <w:t xml:space="preserve">from a </w:t>
      </w:r>
      <w:proofErr w:type="spellStart"/>
      <w:r w:rsidR="003C2CC1">
        <w:t>compan</w:t>
      </w:r>
      <w:proofErr w:type="spellEnd"/>
      <w:r w:rsidR="003C2CC1">
        <w:t xml:space="preserve"> </w:t>
      </w:r>
      <w:r w:rsidR="00CE6AFA">
        <w:t>can be used to leverage county Title I funds for students entering</w:t>
      </w:r>
      <w:r w:rsidR="003C2CC1">
        <w:t xml:space="preserve"> consortium CTE programs without having to deal with a large part of the barriers inherent in the Workforce and AJCC system.</w:t>
      </w:r>
    </w:p>
    <w:p w:rsidR="003C2CC1" w:rsidRDefault="003C2CC1" w:rsidP="00B7226F">
      <w:r>
        <w:t>Measuring the success of this pilot would include analysis of the following items:</w:t>
      </w:r>
    </w:p>
    <w:p w:rsidR="003C2CC1" w:rsidRDefault="003C2CC1" w:rsidP="00FD3DD5">
      <w:pPr>
        <w:pStyle w:val="ListParagraph"/>
        <w:numPr>
          <w:ilvl w:val="0"/>
          <w:numId w:val="28"/>
        </w:numPr>
      </w:pPr>
      <w:r>
        <w:t>The breadth and depth of Advisory Board membership</w:t>
      </w:r>
    </w:p>
    <w:p w:rsidR="003C2CC1" w:rsidRDefault="003C2CC1" w:rsidP="00FD3DD5">
      <w:pPr>
        <w:pStyle w:val="ListParagraph"/>
        <w:numPr>
          <w:ilvl w:val="0"/>
          <w:numId w:val="28"/>
        </w:numPr>
      </w:pPr>
      <w:r>
        <w:t>The amount of Title I funds procured from Board member involvement</w:t>
      </w:r>
    </w:p>
    <w:p w:rsidR="003C2CC1" w:rsidRDefault="003C2CC1" w:rsidP="00FD3DD5">
      <w:pPr>
        <w:pStyle w:val="ListParagraph"/>
        <w:numPr>
          <w:ilvl w:val="0"/>
          <w:numId w:val="28"/>
        </w:numPr>
      </w:pPr>
      <w:r>
        <w:t>The number of consortium trainees who gain employment as a result of training and shared best practices from industry participants.</w:t>
      </w:r>
    </w:p>
    <w:p w:rsidR="003C2CC1" w:rsidRDefault="00704663" w:rsidP="003C2CC1">
      <w:pPr>
        <w:pStyle w:val="Heading2"/>
        <w:spacing w:after="160"/>
      </w:pPr>
      <w:bookmarkStart w:id="48" w:name="_Toc10804156"/>
      <w:r>
        <w:t xml:space="preserve">Piloting </w:t>
      </w:r>
      <w:r w:rsidR="003C2CC1">
        <w:t xml:space="preserve">a Transition Specialist </w:t>
      </w:r>
      <w:r>
        <w:t xml:space="preserve">Model </w:t>
      </w:r>
      <w:r w:rsidR="003C2CC1">
        <w:t>and Measuring that Success</w:t>
      </w:r>
      <w:bookmarkEnd w:id="48"/>
    </w:p>
    <w:p w:rsidR="003C2CC1" w:rsidRDefault="006F7A5E" w:rsidP="003C2CC1">
      <w:r>
        <w:t>Again this strategy is not new. Many CAEP consortia are using some type of Transition Specialist to fortify transition to postsecondary. CCAEC efforts to improve transitions have been operating in fits and spurts. With recent administration commitment to fix the issue, now the consortium has the advantage of seeing what elements have been a part of a successful transition program.</w:t>
      </w:r>
    </w:p>
    <w:p w:rsidR="006F7A5E" w:rsidRDefault="006F7A5E" w:rsidP="006F7A5E">
      <w:r>
        <w:t>Measuring the success of this pilot would include analysis of the following items:</w:t>
      </w:r>
    </w:p>
    <w:p w:rsidR="006F7A5E" w:rsidRDefault="006F7A5E" w:rsidP="00FD3DD5">
      <w:pPr>
        <w:pStyle w:val="ListParagraph"/>
        <w:numPr>
          <w:ilvl w:val="0"/>
          <w:numId w:val="29"/>
        </w:numPr>
      </w:pPr>
      <w:r>
        <w:t>Evidence of community college t</w:t>
      </w:r>
      <w:r w:rsidRPr="006F7A5E">
        <w:t>our</w:t>
      </w:r>
    </w:p>
    <w:p w:rsidR="006F7A5E" w:rsidRDefault="006F7A5E" w:rsidP="00FD3DD5">
      <w:pPr>
        <w:pStyle w:val="ListParagraph"/>
        <w:numPr>
          <w:ilvl w:val="0"/>
          <w:numId w:val="29"/>
        </w:numPr>
      </w:pPr>
      <w:r>
        <w:t>Enrollment in the Counseling 160 class</w:t>
      </w:r>
    </w:p>
    <w:p w:rsidR="006F7A5E" w:rsidRDefault="006F7A5E" w:rsidP="00FD3DD5">
      <w:pPr>
        <w:pStyle w:val="ListParagraph"/>
        <w:numPr>
          <w:ilvl w:val="0"/>
          <w:numId w:val="29"/>
        </w:numPr>
      </w:pPr>
      <w:r>
        <w:t>Number of college applications completed, including FAFSA completions</w:t>
      </w:r>
    </w:p>
    <w:p w:rsidR="006F7A5E" w:rsidRDefault="006F7A5E" w:rsidP="00FD3DD5">
      <w:pPr>
        <w:pStyle w:val="ListParagraph"/>
        <w:numPr>
          <w:ilvl w:val="0"/>
          <w:numId w:val="29"/>
        </w:numPr>
      </w:pPr>
      <w:r>
        <w:t>Monthly report of student interactions</w:t>
      </w:r>
      <w:r w:rsidR="00055B1F">
        <w:t xml:space="preserve"> and student follow-up</w:t>
      </w:r>
    </w:p>
    <w:p w:rsidR="00055B1F" w:rsidRPr="006F7A5E" w:rsidRDefault="001A0CCE" w:rsidP="00FD3DD5">
      <w:pPr>
        <w:pStyle w:val="ListParagraph"/>
        <w:numPr>
          <w:ilvl w:val="0"/>
          <w:numId w:val="29"/>
        </w:numPr>
      </w:pPr>
      <w:r>
        <w:t>Increased number of transitions</w:t>
      </w:r>
    </w:p>
    <w:p w:rsidR="006F7A5E" w:rsidRPr="006F7A5E" w:rsidRDefault="006F7A5E" w:rsidP="006F7A5E"/>
    <w:sectPr w:rsidR="006F7A5E" w:rsidRPr="006F7A5E" w:rsidSect="006511A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53" w:rsidRDefault="00B66153" w:rsidP="008359A5">
      <w:pPr>
        <w:spacing w:after="0" w:line="240" w:lineRule="auto"/>
      </w:pPr>
      <w:r>
        <w:separator/>
      </w:r>
    </w:p>
  </w:endnote>
  <w:endnote w:type="continuationSeparator" w:id="0">
    <w:p w:rsidR="00B66153" w:rsidRDefault="00B66153" w:rsidP="0083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9619850"/>
      <w:docPartObj>
        <w:docPartGallery w:val="Page Numbers (Bottom of Page)"/>
        <w:docPartUnique/>
      </w:docPartObj>
    </w:sdtPr>
    <w:sdtEndPr>
      <w:rPr>
        <w:color w:val="7F7F7F" w:themeColor="background1" w:themeShade="7F"/>
        <w:spacing w:val="60"/>
      </w:rPr>
    </w:sdtEndPr>
    <w:sdtContent>
      <w:p w:rsidR="00F016F7" w:rsidRPr="00911C4D" w:rsidRDefault="00F016F7" w:rsidP="00911C4D">
        <w:pPr>
          <w:pStyle w:val="Footer"/>
          <w:pBdr>
            <w:top w:val="single" w:sz="4" w:space="1" w:color="D9D9D9" w:themeColor="background1" w:themeShade="D9"/>
          </w:pBdr>
          <w:jc w:val="right"/>
          <w:rPr>
            <w:b/>
            <w:bCs/>
            <w:sz w:val="16"/>
            <w:szCs w:val="16"/>
          </w:rPr>
        </w:pPr>
        <w:r w:rsidRPr="00911C4D">
          <w:rPr>
            <w:sz w:val="16"/>
            <w:szCs w:val="16"/>
          </w:rPr>
          <w:t>2019-22 Consortium Three-Year Plan</w:t>
        </w:r>
        <w:r w:rsidRPr="00911C4D">
          <w:rPr>
            <w:b/>
            <w:bCs/>
            <w:sz w:val="16"/>
            <w:szCs w:val="16"/>
          </w:rPr>
          <w:t xml:space="preserve">| </w:t>
        </w:r>
        <w:r w:rsidRPr="00911C4D">
          <w:rPr>
            <w:sz w:val="16"/>
            <w:szCs w:val="16"/>
          </w:rPr>
          <w:fldChar w:fldCharType="begin"/>
        </w:r>
        <w:r w:rsidRPr="00911C4D">
          <w:rPr>
            <w:sz w:val="16"/>
            <w:szCs w:val="16"/>
          </w:rPr>
          <w:instrText xml:space="preserve"> PAGE   \* MERGEFORMAT </w:instrText>
        </w:r>
        <w:r w:rsidRPr="00911C4D">
          <w:rPr>
            <w:sz w:val="16"/>
            <w:szCs w:val="16"/>
          </w:rPr>
          <w:fldChar w:fldCharType="separate"/>
        </w:r>
        <w:r w:rsidR="008131BE" w:rsidRPr="008131BE">
          <w:rPr>
            <w:b/>
            <w:bCs/>
            <w:noProof/>
            <w:sz w:val="16"/>
            <w:szCs w:val="16"/>
          </w:rPr>
          <w:t>4</w:t>
        </w:r>
        <w:r w:rsidRPr="00911C4D">
          <w:rPr>
            <w:b/>
            <w:bCs/>
            <w:noProof/>
            <w:sz w:val="16"/>
            <w:szCs w:val="16"/>
          </w:rPr>
          <w:fldChar w:fldCharType="end"/>
        </w:r>
      </w:p>
    </w:sdtContent>
  </w:sdt>
  <w:p w:rsidR="00F016F7" w:rsidRDefault="00F01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86176"/>
      <w:docPartObj>
        <w:docPartGallery w:val="Page Numbers (Bottom of Page)"/>
        <w:docPartUnique/>
      </w:docPartObj>
    </w:sdtPr>
    <w:sdtEndPr>
      <w:rPr>
        <w:noProof/>
        <w:color w:val="FFFFFF" w:themeColor="background1"/>
      </w:rPr>
    </w:sdtEndPr>
    <w:sdtContent>
      <w:p w:rsidR="00F016F7" w:rsidRPr="00D1221A" w:rsidRDefault="00F016F7">
        <w:pPr>
          <w:pStyle w:val="Footer"/>
          <w:jc w:val="right"/>
          <w:rPr>
            <w:color w:val="FFFFFF" w:themeColor="background1"/>
          </w:rPr>
        </w:pPr>
        <w:r w:rsidRPr="00D1221A">
          <w:rPr>
            <w:color w:val="FFFFFF" w:themeColor="background1"/>
          </w:rPr>
          <w:fldChar w:fldCharType="begin"/>
        </w:r>
        <w:r w:rsidRPr="00D1221A">
          <w:rPr>
            <w:color w:val="FFFFFF" w:themeColor="background1"/>
          </w:rPr>
          <w:instrText xml:space="preserve"> PAGE   \* MERGEFORMAT </w:instrText>
        </w:r>
        <w:r w:rsidRPr="00D1221A">
          <w:rPr>
            <w:color w:val="FFFFFF" w:themeColor="background1"/>
          </w:rPr>
          <w:fldChar w:fldCharType="separate"/>
        </w:r>
        <w:r w:rsidR="008131BE">
          <w:rPr>
            <w:noProof/>
            <w:color w:val="FFFFFF" w:themeColor="background1"/>
          </w:rPr>
          <w:t>i</w:t>
        </w:r>
        <w:r w:rsidRPr="00D1221A">
          <w:rPr>
            <w:noProof/>
            <w:color w:val="FFFFFF" w:themeColor="background1"/>
          </w:rPr>
          <w:fldChar w:fldCharType="end"/>
        </w:r>
      </w:p>
    </w:sdtContent>
  </w:sdt>
  <w:p w:rsidR="00F016F7" w:rsidRDefault="00F01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53" w:rsidRDefault="00B66153" w:rsidP="008359A5">
      <w:pPr>
        <w:spacing w:after="0" w:line="240" w:lineRule="auto"/>
      </w:pPr>
      <w:r>
        <w:separator/>
      </w:r>
    </w:p>
  </w:footnote>
  <w:footnote w:type="continuationSeparator" w:id="0">
    <w:p w:rsidR="00B66153" w:rsidRDefault="00B66153" w:rsidP="00835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F7" w:rsidRDefault="00F016F7" w:rsidP="008359A5">
    <w:pPr>
      <w:pStyle w:val="Header"/>
      <w:tabs>
        <w:tab w:val="left" w:pos="8820"/>
        <w:tab w:val="left" w:pos="9720"/>
        <w:tab w:val="left" w:pos="10170"/>
        <w:tab w:val="left" w:pos="10260"/>
      </w:tabs>
      <w:jc w:val="right"/>
      <w:rPr>
        <w:sz w:val="24"/>
      </w:rPr>
    </w:pPr>
    <w:r w:rsidRPr="008359A5">
      <w:rPr>
        <w:noProof/>
        <w:sz w:val="18"/>
      </w:rPr>
      <w:drawing>
        <wp:anchor distT="0" distB="0" distL="114300" distR="114300" simplePos="0" relativeHeight="251658240" behindDoc="0" locked="0" layoutInCell="1" allowOverlap="1" wp14:anchorId="4370830D" wp14:editId="4E604FDB">
          <wp:simplePos x="0" y="0"/>
          <wp:positionH relativeFrom="column">
            <wp:posOffset>-57150</wp:posOffset>
          </wp:positionH>
          <wp:positionV relativeFrom="paragraph">
            <wp:posOffset>-219075</wp:posOffset>
          </wp:positionV>
          <wp:extent cx="1971429" cy="5809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71429" cy="580952"/>
                  </a:xfrm>
                  <a:prstGeom prst="rect">
                    <a:avLst/>
                  </a:prstGeom>
                </pic:spPr>
              </pic:pic>
            </a:graphicData>
          </a:graphic>
          <wp14:sizeRelH relativeFrom="page">
            <wp14:pctWidth>0</wp14:pctWidth>
          </wp14:sizeRelH>
          <wp14:sizeRelV relativeFrom="page">
            <wp14:pctHeight>0</wp14:pctHeight>
          </wp14:sizeRelV>
        </wp:anchor>
      </w:drawing>
    </w:r>
    <w:r>
      <w:rPr>
        <w:sz w:val="24"/>
      </w:rPr>
      <w:t>Citrus College Adult Education</w:t>
    </w:r>
    <w:r w:rsidRPr="008359A5">
      <w:rPr>
        <w:sz w:val="24"/>
      </w:rPr>
      <w:t xml:space="preserve"> Consortium</w:t>
    </w:r>
    <w:r>
      <w:rPr>
        <w:sz w:val="24"/>
      </w:rPr>
      <w:t xml:space="preserve"> </w:t>
    </w:r>
  </w:p>
  <w:p w:rsidR="00F016F7" w:rsidRPr="008359A5" w:rsidRDefault="00F016F7" w:rsidP="008359A5">
    <w:pPr>
      <w:pStyle w:val="Header"/>
      <w:tabs>
        <w:tab w:val="left" w:pos="8820"/>
        <w:tab w:val="left" w:pos="9720"/>
        <w:tab w:val="left" w:pos="10170"/>
        <w:tab w:val="left" w:pos="10260"/>
      </w:tabs>
      <w:jc w:val="right"/>
      <w:rPr>
        <w:sz w:val="32"/>
      </w:rPr>
    </w:pPr>
    <w:r>
      <w:rPr>
        <w:sz w:val="24"/>
      </w:rPr>
      <w:t>Three-Year Plan 2019-2022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F7" w:rsidRDefault="00F016F7" w:rsidP="00E23960">
    <w:pPr>
      <w:pStyle w:val="Header"/>
      <w:tabs>
        <w:tab w:val="left" w:pos="8820"/>
        <w:tab w:val="left" w:pos="9720"/>
        <w:tab w:val="left" w:pos="10170"/>
        <w:tab w:val="left" w:pos="10260"/>
      </w:tabs>
      <w:jc w:val="right"/>
      <w:rPr>
        <w:sz w:val="24"/>
      </w:rPr>
    </w:pPr>
    <w:r w:rsidRPr="008359A5">
      <w:rPr>
        <w:noProof/>
        <w:sz w:val="18"/>
      </w:rPr>
      <w:drawing>
        <wp:anchor distT="0" distB="0" distL="114300" distR="114300" simplePos="0" relativeHeight="251660288" behindDoc="0" locked="0" layoutInCell="1" allowOverlap="1" wp14:anchorId="5FE45EFF" wp14:editId="571D3FB1">
          <wp:simplePos x="0" y="0"/>
          <wp:positionH relativeFrom="column">
            <wp:posOffset>-57150</wp:posOffset>
          </wp:positionH>
          <wp:positionV relativeFrom="paragraph">
            <wp:posOffset>-219075</wp:posOffset>
          </wp:positionV>
          <wp:extent cx="1971429" cy="5809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71429" cy="580952"/>
                  </a:xfrm>
                  <a:prstGeom prst="rect">
                    <a:avLst/>
                  </a:prstGeom>
                </pic:spPr>
              </pic:pic>
            </a:graphicData>
          </a:graphic>
          <wp14:sizeRelH relativeFrom="page">
            <wp14:pctWidth>0</wp14:pctWidth>
          </wp14:sizeRelH>
          <wp14:sizeRelV relativeFrom="page">
            <wp14:pctHeight>0</wp14:pctHeight>
          </wp14:sizeRelV>
        </wp:anchor>
      </w:drawing>
    </w:r>
    <w:r w:rsidRPr="008359A5">
      <w:rPr>
        <w:sz w:val="24"/>
      </w:rPr>
      <w:t>Citrus College Adult Education Consortium</w:t>
    </w:r>
    <w:r>
      <w:rPr>
        <w:sz w:val="24"/>
      </w:rPr>
      <w:t xml:space="preserve"> </w:t>
    </w:r>
  </w:p>
  <w:p w:rsidR="00F016F7" w:rsidRPr="008359A5" w:rsidRDefault="00F016F7" w:rsidP="00E23960">
    <w:pPr>
      <w:pStyle w:val="Header"/>
      <w:tabs>
        <w:tab w:val="left" w:pos="8820"/>
        <w:tab w:val="left" w:pos="9720"/>
        <w:tab w:val="left" w:pos="10170"/>
        <w:tab w:val="left" w:pos="10260"/>
      </w:tabs>
      <w:jc w:val="right"/>
      <w:rPr>
        <w:sz w:val="32"/>
      </w:rPr>
    </w:pPr>
    <w:r>
      <w:rPr>
        <w:sz w:val="24"/>
      </w:rPr>
      <w:t>Three-Year Plan 2019-2022</w:t>
    </w:r>
  </w:p>
  <w:p w:rsidR="00F016F7" w:rsidRDefault="00F01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3F0"/>
    <w:multiLevelType w:val="hybridMultilevel"/>
    <w:tmpl w:val="D27C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7685"/>
    <w:multiLevelType w:val="hybridMultilevel"/>
    <w:tmpl w:val="643CF11C"/>
    <w:lvl w:ilvl="0" w:tplc="C18A5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15386"/>
    <w:multiLevelType w:val="hybridMultilevel"/>
    <w:tmpl w:val="6A5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12FD5"/>
    <w:multiLevelType w:val="hybridMultilevel"/>
    <w:tmpl w:val="687A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C5D10"/>
    <w:multiLevelType w:val="hybridMultilevel"/>
    <w:tmpl w:val="643CF11C"/>
    <w:lvl w:ilvl="0" w:tplc="C18A5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64267"/>
    <w:multiLevelType w:val="hybridMultilevel"/>
    <w:tmpl w:val="643CF11C"/>
    <w:lvl w:ilvl="0" w:tplc="C18A5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35290"/>
    <w:multiLevelType w:val="hybridMultilevel"/>
    <w:tmpl w:val="60F0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30CF"/>
    <w:multiLevelType w:val="hybridMultilevel"/>
    <w:tmpl w:val="643CF11C"/>
    <w:lvl w:ilvl="0" w:tplc="C18A5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D57AB"/>
    <w:multiLevelType w:val="hybridMultilevel"/>
    <w:tmpl w:val="643CF11C"/>
    <w:lvl w:ilvl="0" w:tplc="C18A5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1546F"/>
    <w:multiLevelType w:val="hybridMultilevel"/>
    <w:tmpl w:val="643CF11C"/>
    <w:lvl w:ilvl="0" w:tplc="C18A5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A29F3"/>
    <w:multiLevelType w:val="hybridMultilevel"/>
    <w:tmpl w:val="643CF11C"/>
    <w:lvl w:ilvl="0" w:tplc="C18A5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45F70"/>
    <w:multiLevelType w:val="hybridMultilevel"/>
    <w:tmpl w:val="687A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40A1F"/>
    <w:multiLevelType w:val="hybridMultilevel"/>
    <w:tmpl w:val="643CF11C"/>
    <w:lvl w:ilvl="0" w:tplc="C18A5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C54D0"/>
    <w:multiLevelType w:val="hybridMultilevel"/>
    <w:tmpl w:val="CDEA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03681"/>
    <w:multiLevelType w:val="hybridMultilevel"/>
    <w:tmpl w:val="19B8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72E8C"/>
    <w:multiLevelType w:val="hybridMultilevel"/>
    <w:tmpl w:val="E3A6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938BB"/>
    <w:multiLevelType w:val="hybridMultilevel"/>
    <w:tmpl w:val="1B9A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20372"/>
    <w:multiLevelType w:val="hybridMultilevel"/>
    <w:tmpl w:val="D27C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97485"/>
    <w:multiLevelType w:val="hybridMultilevel"/>
    <w:tmpl w:val="B310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B4479"/>
    <w:multiLevelType w:val="hybridMultilevel"/>
    <w:tmpl w:val="4B5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22772"/>
    <w:multiLevelType w:val="hybridMultilevel"/>
    <w:tmpl w:val="D742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82101"/>
    <w:multiLevelType w:val="hybridMultilevel"/>
    <w:tmpl w:val="19B8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D23E3"/>
    <w:multiLevelType w:val="hybridMultilevel"/>
    <w:tmpl w:val="D742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45FCA"/>
    <w:multiLevelType w:val="hybridMultilevel"/>
    <w:tmpl w:val="4B5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6485F"/>
    <w:multiLevelType w:val="hybridMultilevel"/>
    <w:tmpl w:val="5CB2A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92648"/>
    <w:multiLevelType w:val="hybridMultilevel"/>
    <w:tmpl w:val="D742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F3A72"/>
    <w:multiLevelType w:val="hybridMultilevel"/>
    <w:tmpl w:val="6A5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62F7B"/>
    <w:multiLevelType w:val="hybridMultilevel"/>
    <w:tmpl w:val="643CF11C"/>
    <w:lvl w:ilvl="0" w:tplc="C18A5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F72E6"/>
    <w:multiLevelType w:val="hybridMultilevel"/>
    <w:tmpl w:val="6A5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15464"/>
    <w:multiLevelType w:val="hybridMultilevel"/>
    <w:tmpl w:val="3A82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2F1C9C"/>
    <w:multiLevelType w:val="hybridMultilevel"/>
    <w:tmpl w:val="D742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85952"/>
    <w:multiLevelType w:val="hybridMultilevel"/>
    <w:tmpl w:val="DC7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56D03"/>
    <w:multiLevelType w:val="hybridMultilevel"/>
    <w:tmpl w:val="D742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7C7A8F"/>
    <w:multiLevelType w:val="hybridMultilevel"/>
    <w:tmpl w:val="643CF11C"/>
    <w:lvl w:ilvl="0" w:tplc="C18A5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24A5F"/>
    <w:multiLevelType w:val="hybridMultilevel"/>
    <w:tmpl w:val="6A5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F17CC"/>
    <w:multiLevelType w:val="hybridMultilevel"/>
    <w:tmpl w:val="3A82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54D9F"/>
    <w:multiLevelType w:val="hybridMultilevel"/>
    <w:tmpl w:val="6A5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8"/>
  </w:num>
  <w:num w:numId="4">
    <w:abstractNumId w:val="4"/>
  </w:num>
  <w:num w:numId="5">
    <w:abstractNumId w:val="33"/>
  </w:num>
  <w:num w:numId="6">
    <w:abstractNumId w:val="9"/>
  </w:num>
  <w:num w:numId="7">
    <w:abstractNumId w:val="25"/>
  </w:num>
  <w:num w:numId="8">
    <w:abstractNumId w:val="22"/>
  </w:num>
  <w:num w:numId="9">
    <w:abstractNumId w:val="30"/>
  </w:num>
  <w:num w:numId="10">
    <w:abstractNumId w:val="20"/>
  </w:num>
  <w:num w:numId="11">
    <w:abstractNumId w:val="32"/>
  </w:num>
  <w:num w:numId="12">
    <w:abstractNumId w:val="24"/>
  </w:num>
  <w:num w:numId="13">
    <w:abstractNumId w:val="36"/>
  </w:num>
  <w:num w:numId="14">
    <w:abstractNumId w:val="2"/>
  </w:num>
  <w:num w:numId="15">
    <w:abstractNumId w:val="34"/>
  </w:num>
  <w:num w:numId="16">
    <w:abstractNumId w:val="26"/>
  </w:num>
  <w:num w:numId="17">
    <w:abstractNumId w:val="28"/>
  </w:num>
  <w:num w:numId="18">
    <w:abstractNumId w:val="16"/>
  </w:num>
  <w:num w:numId="19">
    <w:abstractNumId w:val="6"/>
  </w:num>
  <w:num w:numId="20">
    <w:abstractNumId w:val="19"/>
  </w:num>
  <w:num w:numId="21">
    <w:abstractNumId w:val="31"/>
  </w:num>
  <w:num w:numId="22">
    <w:abstractNumId w:val="18"/>
  </w:num>
  <w:num w:numId="23">
    <w:abstractNumId w:val="10"/>
  </w:num>
  <w:num w:numId="24">
    <w:abstractNumId w:val="1"/>
  </w:num>
  <w:num w:numId="25">
    <w:abstractNumId w:val="5"/>
  </w:num>
  <w:num w:numId="26">
    <w:abstractNumId w:val="7"/>
  </w:num>
  <w:num w:numId="27">
    <w:abstractNumId w:val="12"/>
  </w:num>
  <w:num w:numId="28">
    <w:abstractNumId w:val="13"/>
  </w:num>
  <w:num w:numId="29">
    <w:abstractNumId w:val="15"/>
  </w:num>
  <w:num w:numId="30">
    <w:abstractNumId w:val="21"/>
  </w:num>
  <w:num w:numId="31">
    <w:abstractNumId w:val="14"/>
  </w:num>
  <w:num w:numId="32">
    <w:abstractNumId w:val="29"/>
  </w:num>
  <w:num w:numId="33">
    <w:abstractNumId w:val="35"/>
  </w:num>
  <w:num w:numId="34">
    <w:abstractNumId w:val="3"/>
  </w:num>
  <w:num w:numId="35">
    <w:abstractNumId w:val="11"/>
  </w:num>
  <w:num w:numId="36">
    <w:abstractNumId w:val="17"/>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12"/>
    <w:rsid w:val="00023F3C"/>
    <w:rsid w:val="000452AF"/>
    <w:rsid w:val="00053E8E"/>
    <w:rsid w:val="00055B1F"/>
    <w:rsid w:val="00067723"/>
    <w:rsid w:val="000923A0"/>
    <w:rsid w:val="000A5BC0"/>
    <w:rsid w:val="000B1C48"/>
    <w:rsid w:val="000E5CE5"/>
    <w:rsid w:val="000F5300"/>
    <w:rsid w:val="00153241"/>
    <w:rsid w:val="0016780D"/>
    <w:rsid w:val="0019485C"/>
    <w:rsid w:val="001A0CCE"/>
    <w:rsid w:val="001D3CD4"/>
    <w:rsid w:val="001D5420"/>
    <w:rsid w:val="001D7B51"/>
    <w:rsid w:val="001E47DC"/>
    <w:rsid w:val="001E691A"/>
    <w:rsid w:val="001F0FE6"/>
    <w:rsid w:val="001F3BA7"/>
    <w:rsid w:val="00206A9F"/>
    <w:rsid w:val="00206BF7"/>
    <w:rsid w:val="00213965"/>
    <w:rsid w:val="00222B4F"/>
    <w:rsid w:val="002652A0"/>
    <w:rsid w:val="002A6718"/>
    <w:rsid w:val="002B0080"/>
    <w:rsid w:val="002B330F"/>
    <w:rsid w:val="002B7910"/>
    <w:rsid w:val="002C2878"/>
    <w:rsid w:val="00317C07"/>
    <w:rsid w:val="00345B31"/>
    <w:rsid w:val="00361D0D"/>
    <w:rsid w:val="003824F4"/>
    <w:rsid w:val="003C027C"/>
    <w:rsid w:val="003C2CC1"/>
    <w:rsid w:val="00412079"/>
    <w:rsid w:val="00426E09"/>
    <w:rsid w:val="004330E2"/>
    <w:rsid w:val="00441B23"/>
    <w:rsid w:val="00444C91"/>
    <w:rsid w:val="00460096"/>
    <w:rsid w:val="00463B5E"/>
    <w:rsid w:val="00465324"/>
    <w:rsid w:val="00465DE0"/>
    <w:rsid w:val="00477D2C"/>
    <w:rsid w:val="00480175"/>
    <w:rsid w:val="0049081E"/>
    <w:rsid w:val="004A4790"/>
    <w:rsid w:val="004C370A"/>
    <w:rsid w:val="004E305C"/>
    <w:rsid w:val="004F0F7A"/>
    <w:rsid w:val="004F553B"/>
    <w:rsid w:val="004F6EE8"/>
    <w:rsid w:val="005007C9"/>
    <w:rsid w:val="00533898"/>
    <w:rsid w:val="00594A18"/>
    <w:rsid w:val="005B0B91"/>
    <w:rsid w:val="005B710E"/>
    <w:rsid w:val="005C265D"/>
    <w:rsid w:val="005D0BD6"/>
    <w:rsid w:val="005E5AC2"/>
    <w:rsid w:val="005F214A"/>
    <w:rsid w:val="005F5CED"/>
    <w:rsid w:val="00600FBD"/>
    <w:rsid w:val="006511A4"/>
    <w:rsid w:val="00654452"/>
    <w:rsid w:val="006865B8"/>
    <w:rsid w:val="00692FD2"/>
    <w:rsid w:val="006A5FD4"/>
    <w:rsid w:val="006B1C33"/>
    <w:rsid w:val="006B6592"/>
    <w:rsid w:val="006E4E61"/>
    <w:rsid w:val="006F7A5E"/>
    <w:rsid w:val="00704663"/>
    <w:rsid w:val="00734AED"/>
    <w:rsid w:val="00741634"/>
    <w:rsid w:val="00741E3B"/>
    <w:rsid w:val="007450D3"/>
    <w:rsid w:val="007501A3"/>
    <w:rsid w:val="00760553"/>
    <w:rsid w:val="007839A3"/>
    <w:rsid w:val="00783BBF"/>
    <w:rsid w:val="007A5FF8"/>
    <w:rsid w:val="007A64F2"/>
    <w:rsid w:val="007B6D98"/>
    <w:rsid w:val="007B6EF9"/>
    <w:rsid w:val="007D0EB0"/>
    <w:rsid w:val="007D1E79"/>
    <w:rsid w:val="007D31B7"/>
    <w:rsid w:val="007E0705"/>
    <w:rsid w:val="007E164A"/>
    <w:rsid w:val="00804435"/>
    <w:rsid w:val="0080717A"/>
    <w:rsid w:val="008131BE"/>
    <w:rsid w:val="00834ADA"/>
    <w:rsid w:val="008359A5"/>
    <w:rsid w:val="008557B8"/>
    <w:rsid w:val="008902E6"/>
    <w:rsid w:val="00890BD5"/>
    <w:rsid w:val="008B6FF7"/>
    <w:rsid w:val="008C12D7"/>
    <w:rsid w:val="008C191D"/>
    <w:rsid w:val="008C27CC"/>
    <w:rsid w:val="008C2A79"/>
    <w:rsid w:val="008D3F22"/>
    <w:rsid w:val="00911C4D"/>
    <w:rsid w:val="009317FC"/>
    <w:rsid w:val="00946B12"/>
    <w:rsid w:val="00984303"/>
    <w:rsid w:val="009953AF"/>
    <w:rsid w:val="009A3D0D"/>
    <w:rsid w:val="009B5939"/>
    <w:rsid w:val="009F3F49"/>
    <w:rsid w:val="00A5543F"/>
    <w:rsid w:val="00A8466A"/>
    <w:rsid w:val="00AA4F8F"/>
    <w:rsid w:val="00AB193F"/>
    <w:rsid w:val="00AB5FF1"/>
    <w:rsid w:val="00AB6D1E"/>
    <w:rsid w:val="00AC4841"/>
    <w:rsid w:val="00AD538F"/>
    <w:rsid w:val="00AF25F1"/>
    <w:rsid w:val="00B12C5D"/>
    <w:rsid w:val="00B52F12"/>
    <w:rsid w:val="00B633CF"/>
    <w:rsid w:val="00B66153"/>
    <w:rsid w:val="00B7226F"/>
    <w:rsid w:val="00B732C9"/>
    <w:rsid w:val="00B7492B"/>
    <w:rsid w:val="00BA13B7"/>
    <w:rsid w:val="00BB3048"/>
    <w:rsid w:val="00BC6E12"/>
    <w:rsid w:val="00C25487"/>
    <w:rsid w:val="00C44F35"/>
    <w:rsid w:val="00C463DA"/>
    <w:rsid w:val="00C64CE0"/>
    <w:rsid w:val="00C73978"/>
    <w:rsid w:val="00C7599B"/>
    <w:rsid w:val="00CA0D8E"/>
    <w:rsid w:val="00CA3D26"/>
    <w:rsid w:val="00CA43DD"/>
    <w:rsid w:val="00CA4E28"/>
    <w:rsid w:val="00CC4192"/>
    <w:rsid w:val="00CC5F00"/>
    <w:rsid w:val="00CE6AFA"/>
    <w:rsid w:val="00D1221A"/>
    <w:rsid w:val="00D860B5"/>
    <w:rsid w:val="00D93344"/>
    <w:rsid w:val="00D93F0A"/>
    <w:rsid w:val="00DB45A1"/>
    <w:rsid w:val="00DD2BA7"/>
    <w:rsid w:val="00DD602A"/>
    <w:rsid w:val="00DE71D9"/>
    <w:rsid w:val="00DF629F"/>
    <w:rsid w:val="00E06AC5"/>
    <w:rsid w:val="00E15555"/>
    <w:rsid w:val="00E20D47"/>
    <w:rsid w:val="00E23960"/>
    <w:rsid w:val="00E731A5"/>
    <w:rsid w:val="00E92005"/>
    <w:rsid w:val="00EB41EF"/>
    <w:rsid w:val="00EB6491"/>
    <w:rsid w:val="00EB722B"/>
    <w:rsid w:val="00ED2195"/>
    <w:rsid w:val="00ED5D93"/>
    <w:rsid w:val="00F016F7"/>
    <w:rsid w:val="00F12BFB"/>
    <w:rsid w:val="00F21219"/>
    <w:rsid w:val="00F55A77"/>
    <w:rsid w:val="00F62623"/>
    <w:rsid w:val="00F874B7"/>
    <w:rsid w:val="00FB111F"/>
    <w:rsid w:val="00FD1484"/>
    <w:rsid w:val="00FD3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949CE0-14F7-4EC6-8269-C8BFFAF9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2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02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F21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9081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3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9A5"/>
  </w:style>
  <w:style w:type="paragraph" w:styleId="Footer">
    <w:name w:val="footer"/>
    <w:basedOn w:val="Normal"/>
    <w:link w:val="FooterChar"/>
    <w:uiPriority w:val="99"/>
    <w:unhideWhenUsed/>
    <w:rsid w:val="0083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9A5"/>
  </w:style>
  <w:style w:type="paragraph" w:styleId="TOCHeading">
    <w:name w:val="TOC Heading"/>
    <w:basedOn w:val="Heading1"/>
    <w:next w:val="Normal"/>
    <w:uiPriority w:val="39"/>
    <w:unhideWhenUsed/>
    <w:qFormat/>
    <w:rsid w:val="00DF629F"/>
    <w:pPr>
      <w:outlineLvl w:val="9"/>
    </w:pPr>
    <w:rPr>
      <w:lang w:eastAsia="en-US"/>
    </w:rPr>
  </w:style>
  <w:style w:type="paragraph" w:styleId="TOC1">
    <w:name w:val="toc 1"/>
    <w:basedOn w:val="Normal"/>
    <w:next w:val="Normal"/>
    <w:autoRedefine/>
    <w:uiPriority w:val="39"/>
    <w:unhideWhenUsed/>
    <w:rsid w:val="00DF629F"/>
    <w:pPr>
      <w:spacing w:after="100"/>
    </w:pPr>
  </w:style>
  <w:style w:type="character" w:styleId="Hyperlink">
    <w:name w:val="Hyperlink"/>
    <w:basedOn w:val="DefaultParagraphFont"/>
    <w:uiPriority w:val="99"/>
    <w:unhideWhenUsed/>
    <w:rsid w:val="00DF629F"/>
    <w:rPr>
      <w:color w:val="0563C1" w:themeColor="hyperlink"/>
      <w:u w:val="single"/>
    </w:rPr>
  </w:style>
  <w:style w:type="character" w:customStyle="1" w:styleId="Heading2Char">
    <w:name w:val="Heading 2 Char"/>
    <w:basedOn w:val="DefaultParagraphFont"/>
    <w:link w:val="Heading2"/>
    <w:uiPriority w:val="9"/>
    <w:rsid w:val="00D122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027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30E2"/>
    <w:pPr>
      <w:spacing w:after="0" w:line="240" w:lineRule="auto"/>
    </w:pPr>
    <w:rPr>
      <w:rFonts w:ascii="Calibri" w:eastAsia="Times New Roman" w:hAnsi="Calibri" w:cs="Times New Roman"/>
      <w:lang w:eastAsia="en-US"/>
    </w:rPr>
  </w:style>
  <w:style w:type="paragraph" w:styleId="BodyText">
    <w:name w:val="Body Text"/>
    <w:basedOn w:val="Normal"/>
    <w:link w:val="BodyTextChar"/>
    <w:uiPriority w:val="99"/>
    <w:unhideWhenUsed/>
    <w:rsid w:val="004330E2"/>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99"/>
    <w:rsid w:val="004330E2"/>
    <w:rPr>
      <w:rFonts w:ascii="Times New Roman" w:eastAsia="Times New Roman" w:hAnsi="Times New Roman" w:cs="Times New Roman"/>
      <w:sz w:val="20"/>
      <w:szCs w:val="20"/>
      <w:lang w:eastAsia="en-US"/>
    </w:rPr>
  </w:style>
  <w:style w:type="paragraph" w:styleId="List2">
    <w:name w:val="List 2"/>
    <w:basedOn w:val="Normal"/>
    <w:link w:val="List2Char"/>
    <w:rsid w:val="004330E2"/>
    <w:pPr>
      <w:spacing w:before="80" w:after="80" w:line="240" w:lineRule="auto"/>
      <w:ind w:left="720" w:hanging="360"/>
    </w:pPr>
    <w:rPr>
      <w:rFonts w:ascii="Times New Roman" w:eastAsia="Times New Roman" w:hAnsi="Times New Roman" w:cs="Times New Roman"/>
      <w:sz w:val="24"/>
      <w:szCs w:val="24"/>
      <w:lang w:eastAsia="en-US"/>
    </w:rPr>
  </w:style>
  <w:style w:type="character" w:customStyle="1" w:styleId="List2Char">
    <w:name w:val="List 2 Char"/>
    <w:link w:val="List2"/>
    <w:rsid w:val="004330E2"/>
    <w:rPr>
      <w:rFonts w:ascii="Times New Roman" w:eastAsia="Times New Roman" w:hAnsi="Times New Roman" w:cs="Times New Roman"/>
      <w:sz w:val="24"/>
      <w:szCs w:val="24"/>
      <w:lang w:eastAsia="en-US"/>
    </w:rPr>
  </w:style>
  <w:style w:type="table" w:styleId="MediumShading2-Accent5">
    <w:name w:val="Medium Shading 2 Accent 5"/>
    <w:basedOn w:val="TableNormal"/>
    <w:uiPriority w:val="64"/>
    <w:rsid w:val="004330E2"/>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0175"/>
    <w:pPr>
      <w:ind w:left="720"/>
      <w:contextualSpacing/>
    </w:pPr>
  </w:style>
  <w:style w:type="paragraph" w:styleId="BalloonText">
    <w:name w:val="Balloon Text"/>
    <w:basedOn w:val="Normal"/>
    <w:link w:val="BalloonTextChar"/>
    <w:uiPriority w:val="99"/>
    <w:semiHidden/>
    <w:unhideWhenUsed/>
    <w:rsid w:val="00807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7A"/>
    <w:rPr>
      <w:rFonts w:ascii="Segoe UI" w:hAnsi="Segoe UI" w:cs="Segoe UI"/>
      <w:sz w:val="18"/>
      <w:szCs w:val="18"/>
    </w:rPr>
  </w:style>
  <w:style w:type="paragraph" w:styleId="TOC2">
    <w:name w:val="toc 2"/>
    <w:basedOn w:val="Normal"/>
    <w:next w:val="Normal"/>
    <w:autoRedefine/>
    <w:uiPriority w:val="39"/>
    <w:unhideWhenUsed/>
    <w:rsid w:val="0080717A"/>
    <w:pPr>
      <w:spacing w:after="100"/>
      <w:ind w:left="220"/>
    </w:pPr>
  </w:style>
  <w:style w:type="paragraph" w:styleId="TOC3">
    <w:name w:val="toc 3"/>
    <w:basedOn w:val="Normal"/>
    <w:next w:val="Normal"/>
    <w:autoRedefine/>
    <w:uiPriority w:val="39"/>
    <w:unhideWhenUsed/>
    <w:rsid w:val="0080717A"/>
    <w:pPr>
      <w:spacing w:after="100"/>
      <w:ind w:left="440"/>
    </w:pPr>
  </w:style>
  <w:style w:type="character" w:customStyle="1" w:styleId="Heading4Char">
    <w:name w:val="Heading 4 Char"/>
    <w:basedOn w:val="DefaultParagraphFont"/>
    <w:link w:val="Heading4"/>
    <w:uiPriority w:val="9"/>
    <w:rsid w:val="005F21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71765">
      <w:bodyDiv w:val="1"/>
      <w:marLeft w:val="0"/>
      <w:marRight w:val="0"/>
      <w:marTop w:val="0"/>
      <w:marBottom w:val="0"/>
      <w:divBdr>
        <w:top w:val="none" w:sz="0" w:space="0" w:color="auto"/>
        <w:left w:val="none" w:sz="0" w:space="0" w:color="auto"/>
        <w:bottom w:val="none" w:sz="0" w:space="0" w:color="auto"/>
        <w:right w:val="none" w:sz="0" w:space="0" w:color="auto"/>
      </w:divBdr>
    </w:div>
    <w:div w:id="1395660631">
      <w:bodyDiv w:val="1"/>
      <w:marLeft w:val="0"/>
      <w:marRight w:val="0"/>
      <w:marTop w:val="0"/>
      <w:marBottom w:val="0"/>
      <w:divBdr>
        <w:top w:val="none" w:sz="0" w:space="0" w:color="auto"/>
        <w:left w:val="none" w:sz="0" w:space="0" w:color="auto"/>
        <w:bottom w:val="none" w:sz="0" w:space="0" w:color="auto"/>
        <w:right w:val="none" w:sz="0" w:space="0" w:color="auto"/>
      </w:divBdr>
    </w:div>
    <w:div w:id="1587492204">
      <w:bodyDiv w:val="1"/>
      <w:marLeft w:val="0"/>
      <w:marRight w:val="0"/>
      <w:marTop w:val="0"/>
      <w:marBottom w:val="0"/>
      <w:divBdr>
        <w:top w:val="none" w:sz="0" w:space="0" w:color="auto"/>
        <w:left w:val="none" w:sz="0" w:space="0" w:color="auto"/>
        <w:bottom w:val="none" w:sz="0" w:space="0" w:color="auto"/>
        <w:right w:val="none" w:sz="0" w:space="0" w:color="auto"/>
      </w:divBdr>
    </w:div>
    <w:div w:id="1740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russell@monroviaschool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9D16-BD34-40F2-9B45-7120BF6E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10184</TotalTime>
  <Pages>31</Pages>
  <Words>7534</Words>
  <Characters>42945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Monrovia</dc:creator>
  <cp:keywords/>
  <dc:description/>
  <cp:lastModifiedBy>Monrovia</cp:lastModifiedBy>
  <cp:revision>56</cp:revision>
  <cp:lastPrinted>2019-05-22T16:44:00Z</cp:lastPrinted>
  <dcterms:created xsi:type="dcterms:W3CDTF">2019-05-09T05:09:00Z</dcterms:created>
  <dcterms:modified xsi:type="dcterms:W3CDTF">2019-06-07T19:49:00Z</dcterms:modified>
</cp:coreProperties>
</file>